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565A9" w14:textId="21476C0A" w:rsidR="00A217AD" w:rsidRPr="003403BC" w:rsidRDefault="001E32E8" w:rsidP="00DE3A10">
      <w:pPr>
        <w:spacing w:line="480" w:lineRule="auto"/>
        <w:rPr>
          <w:rFonts w:ascii="Times New Roman" w:eastAsia="Times New Roman" w:hAnsi="Times New Roman" w:cs="Times New Roman"/>
          <w:b/>
          <w:color w:val="222222"/>
          <w:sz w:val="24"/>
          <w:szCs w:val="24"/>
        </w:rPr>
      </w:pPr>
      <w:r w:rsidRPr="003403BC">
        <w:rPr>
          <w:rFonts w:ascii="Times New Roman" w:eastAsia="Times New Roman" w:hAnsi="Times New Roman" w:cs="Times New Roman"/>
          <w:b/>
          <w:color w:val="222222"/>
          <w:sz w:val="24"/>
          <w:szCs w:val="24"/>
        </w:rPr>
        <w:t xml:space="preserve">I. </w:t>
      </w:r>
      <w:r w:rsidR="008D59E1" w:rsidRPr="003403BC">
        <w:rPr>
          <w:rFonts w:ascii="Times New Roman" w:eastAsia="Times New Roman" w:hAnsi="Times New Roman" w:cs="Times New Roman"/>
          <w:b/>
          <w:color w:val="222222"/>
          <w:sz w:val="24"/>
          <w:szCs w:val="24"/>
        </w:rPr>
        <w:t>INTRODUCTION</w:t>
      </w:r>
    </w:p>
    <w:p w14:paraId="24A9E102" w14:textId="7425F88C" w:rsidR="008860FE" w:rsidRDefault="00546695" w:rsidP="00085379">
      <w:p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Courts are usually organized in a hierarchical way. Superior courts are generally charged with the review of </w:t>
      </w:r>
      <w:r w:rsidR="0055163D">
        <w:rPr>
          <w:rFonts w:ascii="Times New Roman" w:eastAsia="Times New Roman" w:hAnsi="Times New Roman" w:cs="Times New Roman"/>
          <w:color w:val="222222"/>
          <w:sz w:val="24"/>
          <w:szCs w:val="24"/>
        </w:rPr>
        <w:t xml:space="preserve">those </w:t>
      </w:r>
      <w:r>
        <w:rPr>
          <w:rFonts w:ascii="Times New Roman" w:eastAsia="Times New Roman" w:hAnsi="Times New Roman" w:cs="Times New Roman"/>
          <w:color w:val="222222"/>
          <w:sz w:val="24"/>
          <w:szCs w:val="24"/>
        </w:rPr>
        <w:t xml:space="preserve">decisions made by inferior courts </w:t>
      </w:r>
      <w:r w:rsidR="0055163D">
        <w:rPr>
          <w:rFonts w:ascii="Times New Roman" w:eastAsia="Times New Roman" w:hAnsi="Times New Roman" w:cs="Times New Roman"/>
          <w:color w:val="222222"/>
          <w:sz w:val="24"/>
          <w:szCs w:val="24"/>
        </w:rPr>
        <w:t>which</w:t>
      </w:r>
      <w:r>
        <w:rPr>
          <w:rFonts w:ascii="Times New Roman" w:eastAsia="Times New Roman" w:hAnsi="Times New Roman" w:cs="Times New Roman"/>
          <w:color w:val="222222"/>
          <w:sz w:val="24"/>
          <w:szCs w:val="24"/>
        </w:rPr>
        <w:t xml:space="preserve"> </w:t>
      </w:r>
      <w:r w:rsidR="0055163D">
        <w:rPr>
          <w:rFonts w:ascii="Times New Roman" w:eastAsia="Times New Roman" w:hAnsi="Times New Roman" w:cs="Times New Roman"/>
          <w:color w:val="222222"/>
          <w:sz w:val="24"/>
          <w:szCs w:val="24"/>
        </w:rPr>
        <w:t xml:space="preserve">were </w:t>
      </w:r>
      <w:r>
        <w:rPr>
          <w:rFonts w:ascii="Times New Roman" w:eastAsia="Times New Roman" w:hAnsi="Times New Roman" w:cs="Times New Roman"/>
          <w:color w:val="222222"/>
          <w:sz w:val="24"/>
          <w:szCs w:val="24"/>
        </w:rPr>
        <w:t>solicited by the parties to the case. As a result, it is believed that error correction is one of the primary roles of appellate courts (</w:t>
      </w:r>
      <w:proofErr w:type="spellStart"/>
      <w:r>
        <w:rPr>
          <w:rFonts w:ascii="Times New Roman" w:eastAsia="Times New Roman" w:hAnsi="Times New Roman" w:cs="Times New Roman"/>
          <w:color w:val="222222"/>
          <w:sz w:val="24"/>
          <w:szCs w:val="24"/>
        </w:rPr>
        <w:t>Kornhauser</w:t>
      </w:r>
      <w:proofErr w:type="spellEnd"/>
      <w:r>
        <w:rPr>
          <w:rFonts w:ascii="Times New Roman" w:eastAsia="Times New Roman" w:hAnsi="Times New Roman" w:cs="Times New Roman"/>
          <w:color w:val="222222"/>
          <w:sz w:val="24"/>
          <w:szCs w:val="24"/>
        </w:rPr>
        <w:t xml:space="preserve"> 1995; </w:t>
      </w:r>
      <w:proofErr w:type="spellStart"/>
      <w:r>
        <w:rPr>
          <w:rFonts w:ascii="Times New Roman" w:eastAsia="Times New Roman" w:hAnsi="Times New Roman" w:cs="Times New Roman"/>
          <w:color w:val="222222"/>
          <w:sz w:val="24"/>
          <w:szCs w:val="24"/>
        </w:rPr>
        <w:t>Shavell</w:t>
      </w:r>
      <w:proofErr w:type="spellEnd"/>
      <w:r>
        <w:rPr>
          <w:rFonts w:ascii="Times New Roman" w:eastAsia="Times New Roman" w:hAnsi="Times New Roman" w:cs="Times New Roman"/>
          <w:color w:val="222222"/>
          <w:sz w:val="24"/>
          <w:szCs w:val="24"/>
        </w:rPr>
        <w:t xml:space="preserve"> 1995). </w:t>
      </w:r>
      <w:r w:rsidR="0039308E">
        <w:rPr>
          <w:rFonts w:ascii="Times New Roman" w:eastAsia="Times New Roman" w:hAnsi="Times New Roman" w:cs="Times New Roman"/>
          <w:color w:val="222222"/>
          <w:sz w:val="24"/>
          <w:szCs w:val="24"/>
        </w:rPr>
        <w:t xml:space="preserve">Other roles include </w:t>
      </w:r>
      <w:r w:rsidR="000D1E0B">
        <w:rPr>
          <w:rFonts w:ascii="Times New Roman" w:eastAsia="Times New Roman" w:hAnsi="Times New Roman" w:cs="Times New Roman"/>
          <w:color w:val="222222"/>
          <w:sz w:val="24"/>
          <w:szCs w:val="24"/>
        </w:rPr>
        <w:t>ensuring</w:t>
      </w:r>
      <w:r w:rsidR="0039308E">
        <w:rPr>
          <w:rFonts w:ascii="Times New Roman" w:eastAsia="Times New Roman" w:hAnsi="Times New Roman" w:cs="Times New Roman"/>
          <w:color w:val="222222"/>
          <w:sz w:val="24"/>
          <w:szCs w:val="24"/>
        </w:rPr>
        <w:t xml:space="preserve"> uniformity in the application of the law</w:t>
      </w:r>
      <w:r w:rsidR="000D1E0B">
        <w:rPr>
          <w:rFonts w:ascii="Times New Roman" w:eastAsia="Times New Roman" w:hAnsi="Times New Roman" w:cs="Times New Roman"/>
          <w:color w:val="222222"/>
          <w:sz w:val="24"/>
          <w:szCs w:val="24"/>
        </w:rPr>
        <w:t>,</w:t>
      </w:r>
      <w:r w:rsidR="0039308E">
        <w:rPr>
          <w:rFonts w:ascii="Times New Roman" w:eastAsia="Times New Roman" w:hAnsi="Times New Roman" w:cs="Times New Roman"/>
          <w:color w:val="222222"/>
          <w:sz w:val="24"/>
          <w:szCs w:val="24"/>
        </w:rPr>
        <w:t xml:space="preserve"> and even law creation (Posner 1985).</w:t>
      </w:r>
      <w:r>
        <w:rPr>
          <w:rFonts w:ascii="Times New Roman" w:eastAsia="Times New Roman" w:hAnsi="Times New Roman" w:cs="Times New Roman"/>
          <w:color w:val="222222"/>
          <w:sz w:val="24"/>
          <w:szCs w:val="24"/>
        </w:rPr>
        <w:t xml:space="preserve"> </w:t>
      </w:r>
    </w:p>
    <w:p w14:paraId="2429D0B0" w14:textId="61AD70CC" w:rsidR="00204055" w:rsidRDefault="0039308E" w:rsidP="00085379">
      <w:p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the case of Supreme Courts, providing the ultimate interpretation of the country’s constitution </w:t>
      </w:r>
      <w:r w:rsidR="0055163D">
        <w:rPr>
          <w:rFonts w:ascii="Times New Roman" w:eastAsia="Times New Roman" w:hAnsi="Times New Roman" w:cs="Times New Roman"/>
          <w:color w:val="222222"/>
          <w:sz w:val="24"/>
          <w:szCs w:val="24"/>
        </w:rPr>
        <w:t>appears</w:t>
      </w:r>
      <w:r>
        <w:rPr>
          <w:rFonts w:ascii="Times New Roman" w:eastAsia="Times New Roman" w:hAnsi="Times New Roman" w:cs="Times New Roman"/>
          <w:color w:val="222222"/>
          <w:sz w:val="24"/>
          <w:szCs w:val="24"/>
        </w:rPr>
        <w:t xml:space="preserve"> to be </w:t>
      </w:r>
      <w:r w:rsidR="000D1E0B">
        <w:rPr>
          <w:rFonts w:ascii="Times New Roman" w:eastAsia="Times New Roman" w:hAnsi="Times New Roman" w:cs="Times New Roman"/>
          <w:color w:val="222222"/>
          <w:sz w:val="24"/>
          <w:szCs w:val="24"/>
        </w:rPr>
        <w:t xml:space="preserve">one of </w:t>
      </w:r>
      <w:r>
        <w:rPr>
          <w:rFonts w:ascii="Times New Roman" w:eastAsia="Times New Roman" w:hAnsi="Times New Roman" w:cs="Times New Roman"/>
          <w:color w:val="222222"/>
          <w:sz w:val="24"/>
          <w:szCs w:val="24"/>
        </w:rPr>
        <w:t>the most important function</w:t>
      </w:r>
      <w:r w:rsidR="000D1E0B">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Nevertheless, High Courts typically struggle to find the right balance between </w:t>
      </w:r>
      <w:r w:rsidR="0055163D">
        <w:rPr>
          <w:rFonts w:ascii="Times New Roman" w:eastAsia="Times New Roman" w:hAnsi="Times New Roman" w:cs="Times New Roman"/>
          <w:color w:val="222222"/>
          <w:sz w:val="24"/>
          <w:szCs w:val="24"/>
        </w:rPr>
        <w:t xml:space="preserve">its </w:t>
      </w:r>
      <w:r>
        <w:rPr>
          <w:rFonts w:ascii="Times New Roman" w:eastAsia="Times New Roman" w:hAnsi="Times New Roman" w:cs="Times New Roman"/>
          <w:color w:val="222222"/>
          <w:sz w:val="24"/>
          <w:szCs w:val="24"/>
        </w:rPr>
        <w:t>error correction</w:t>
      </w:r>
      <w:r w:rsidR="0055163D">
        <w:rPr>
          <w:rFonts w:ascii="Times New Roman" w:eastAsia="Times New Roman" w:hAnsi="Times New Roman" w:cs="Times New Roman"/>
          <w:color w:val="222222"/>
          <w:sz w:val="24"/>
          <w:szCs w:val="24"/>
        </w:rPr>
        <w:t xml:space="preserve"> function</w:t>
      </w:r>
      <w:r>
        <w:rPr>
          <w:rFonts w:ascii="Times New Roman" w:eastAsia="Times New Roman" w:hAnsi="Times New Roman" w:cs="Times New Roman"/>
          <w:color w:val="222222"/>
          <w:sz w:val="24"/>
          <w:szCs w:val="24"/>
        </w:rPr>
        <w:t xml:space="preserve"> and giving the final interpretation of constitutional clauses.</w:t>
      </w:r>
      <w:r w:rsidR="007303F6">
        <w:rPr>
          <w:rFonts w:ascii="Times New Roman" w:eastAsia="Times New Roman" w:hAnsi="Times New Roman" w:cs="Times New Roman"/>
          <w:color w:val="222222"/>
          <w:sz w:val="24"/>
          <w:szCs w:val="24"/>
        </w:rPr>
        <w:t xml:space="preserve"> The more time and resources spent in error correction limits the ability to offer </w:t>
      </w:r>
      <w:r w:rsidR="00407A64">
        <w:rPr>
          <w:rFonts w:ascii="Times New Roman" w:eastAsia="Times New Roman" w:hAnsi="Times New Roman" w:cs="Times New Roman"/>
          <w:color w:val="222222"/>
          <w:sz w:val="24"/>
          <w:szCs w:val="24"/>
        </w:rPr>
        <w:t>improvements in constitutional interpretation.</w:t>
      </w:r>
      <w:r w:rsidR="00204055">
        <w:rPr>
          <w:rStyle w:val="EndnoteReference"/>
          <w:rFonts w:ascii="Times New Roman" w:eastAsia="Times New Roman" w:hAnsi="Times New Roman" w:cs="Times New Roman"/>
          <w:color w:val="222222"/>
          <w:sz w:val="24"/>
          <w:szCs w:val="24"/>
        </w:rPr>
        <w:endnoteReference w:id="1"/>
      </w:r>
      <w:r w:rsidR="00204055">
        <w:rPr>
          <w:rFonts w:ascii="Times New Roman" w:eastAsia="Times New Roman" w:hAnsi="Times New Roman" w:cs="Times New Roman"/>
          <w:color w:val="222222"/>
          <w:sz w:val="24"/>
          <w:szCs w:val="24"/>
        </w:rPr>
        <w:t xml:space="preserve"> In this context, Supreme Courts need to make difficult decisions in terms of the way in which they ought to manage their limited resources, both in terms of times and personnel. </w:t>
      </w:r>
    </w:p>
    <w:p w14:paraId="7337A3EF" w14:textId="77777777" w:rsidR="00204055" w:rsidRDefault="00204055" w:rsidP="00085379">
      <w:p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ability to deny certiorari is perhaps the main docket management weapon typically found in a Supreme Court’s arsenal to allow them to achieve their desired balance. When such a possibility is at the High Courts’ disposal, the use of a pre-established formula both facilitates the prompt dismissal of the cases the Courts deem not to merit review and the allocation of more time and resources to the study of the remaining cases. </w:t>
      </w:r>
    </w:p>
    <w:p w14:paraId="18CA97CE" w14:textId="7030D1FA" w:rsidR="00791B70" w:rsidRDefault="00204055" w:rsidP="00204055">
      <w:p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Moreover, some courts go even further in seeking to streamline the process of appeals and improve the efficiency of their handling. For example the Supreme Court of Taiwan and the Argentine Supreme Court also have the ability to dismiss appeals which haven’t complied with certain formal requirements (Eisenberg and Huang 2012; </w:t>
      </w:r>
      <w:proofErr w:type="spellStart"/>
      <w:r>
        <w:rPr>
          <w:rFonts w:ascii="Times New Roman" w:eastAsia="Times New Roman" w:hAnsi="Times New Roman" w:cs="Times New Roman"/>
          <w:color w:val="222222"/>
          <w:sz w:val="24"/>
          <w:szCs w:val="24"/>
        </w:rPr>
        <w:t>Muro</w:t>
      </w:r>
      <w:proofErr w:type="spellEnd"/>
      <w:r>
        <w:rPr>
          <w:rFonts w:ascii="Times New Roman" w:eastAsia="Times New Roman" w:hAnsi="Times New Roman" w:cs="Times New Roman"/>
          <w:color w:val="222222"/>
          <w:sz w:val="24"/>
          <w:szCs w:val="24"/>
        </w:rPr>
        <w:t xml:space="preserve"> et al, 2016). </w:t>
      </w:r>
      <w:r w:rsidRPr="00862861">
        <w:rPr>
          <w:rFonts w:ascii="Times New Roman" w:eastAsia="Times New Roman" w:hAnsi="Times New Roman" w:cs="Times New Roman"/>
          <w:color w:val="222222"/>
          <w:sz w:val="24"/>
          <w:szCs w:val="24"/>
        </w:rPr>
        <w:t xml:space="preserve">Our study contributes to the </w:t>
      </w:r>
      <w:r w:rsidRPr="00DE3A10">
        <w:rPr>
          <w:rFonts w:ascii="Times New Roman" w:eastAsia="Times New Roman" w:hAnsi="Times New Roman" w:cs="Times New Roman"/>
          <w:color w:val="222222"/>
          <w:sz w:val="24"/>
          <w:szCs w:val="24"/>
        </w:rPr>
        <w:t xml:space="preserve">growing </w:t>
      </w:r>
      <w:r w:rsidRPr="00862861">
        <w:rPr>
          <w:rFonts w:ascii="Times New Roman" w:eastAsia="Times New Roman" w:hAnsi="Times New Roman" w:cs="Times New Roman"/>
          <w:color w:val="222222"/>
          <w:sz w:val="24"/>
          <w:szCs w:val="24"/>
        </w:rPr>
        <w:t xml:space="preserve">literature of </w:t>
      </w:r>
      <w:r w:rsidRPr="00DE3A10">
        <w:rPr>
          <w:rFonts w:ascii="Times New Roman" w:eastAsia="Times New Roman" w:hAnsi="Times New Roman" w:cs="Times New Roman"/>
          <w:color w:val="222222"/>
          <w:sz w:val="24"/>
          <w:szCs w:val="24"/>
        </w:rPr>
        <w:t xml:space="preserve">comparative Supreme Courts </w:t>
      </w:r>
      <w:r w:rsidRPr="00862861">
        <w:rPr>
          <w:rFonts w:ascii="Times New Roman" w:eastAsia="Times New Roman" w:hAnsi="Times New Roman" w:cs="Times New Roman"/>
          <w:color w:val="222222"/>
          <w:sz w:val="24"/>
          <w:szCs w:val="24"/>
        </w:rPr>
        <w:t>by investigating a subset of the discretionary docket of the Supreme Court of Argentina (hereinafter, CSJN), namely</w:t>
      </w:r>
      <w:r>
        <w:rPr>
          <w:rFonts w:ascii="Times New Roman" w:eastAsia="Times New Roman" w:hAnsi="Times New Roman" w:cs="Times New Roman"/>
          <w:color w:val="222222"/>
          <w:sz w:val="24"/>
          <w:szCs w:val="24"/>
        </w:rPr>
        <w:t>, those</w:t>
      </w:r>
      <w:r w:rsidRPr="00862861">
        <w:rPr>
          <w:rFonts w:ascii="Times New Roman" w:eastAsia="Times New Roman" w:hAnsi="Times New Roman" w:cs="Times New Roman"/>
          <w:color w:val="222222"/>
          <w:sz w:val="24"/>
          <w:szCs w:val="24"/>
        </w:rPr>
        <w:t xml:space="preserve"> appeals dismissed because of formal errors. </w:t>
      </w:r>
      <w:r w:rsidR="00791B70">
        <w:rPr>
          <w:rFonts w:ascii="Times New Roman" w:eastAsia="Times New Roman" w:hAnsi="Times New Roman" w:cs="Times New Roman"/>
          <w:color w:val="222222"/>
          <w:sz w:val="24"/>
          <w:szCs w:val="24"/>
        </w:rPr>
        <w:t xml:space="preserve">It provides significant insights as to what the underlying aims </w:t>
      </w:r>
      <w:proofErr w:type="gramStart"/>
      <w:r w:rsidR="00791B70">
        <w:rPr>
          <w:rFonts w:ascii="Times New Roman" w:eastAsia="Times New Roman" w:hAnsi="Times New Roman" w:cs="Times New Roman"/>
          <w:color w:val="222222"/>
          <w:sz w:val="24"/>
          <w:szCs w:val="24"/>
        </w:rPr>
        <w:t xml:space="preserve">of  </w:t>
      </w:r>
      <w:proofErr w:type="spellStart"/>
      <w:r w:rsidR="00791B70" w:rsidRPr="005E5288">
        <w:rPr>
          <w:rFonts w:ascii="Times New Roman" w:eastAsia="Times New Roman" w:hAnsi="Times New Roman" w:cs="Times New Roman"/>
          <w:i/>
          <w:color w:val="222222"/>
          <w:sz w:val="24"/>
          <w:szCs w:val="24"/>
        </w:rPr>
        <w:t>Acordada</w:t>
      </w:r>
      <w:proofErr w:type="spellEnd"/>
      <w:proofErr w:type="gramEnd"/>
      <w:r w:rsidR="00791B70" w:rsidRPr="005E5288">
        <w:rPr>
          <w:rFonts w:ascii="Times New Roman" w:eastAsia="Times New Roman" w:hAnsi="Times New Roman" w:cs="Times New Roman"/>
          <w:i/>
          <w:color w:val="222222"/>
          <w:sz w:val="24"/>
          <w:szCs w:val="24"/>
        </w:rPr>
        <w:t xml:space="preserve"> 4</w:t>
      </w:r>
      <w:r w:rsidR="00791B70">
        <w:rPr>
          <w:rFonts w:ascii="Times New Roman" w:eastAsia="Times New Roman" w:hAnsi="Times New Roman" w:cs="Times New Roman"/>
          <w:i/>
          <w:color w:val="222222"/>
          <w:sz w:val="24"/>
          <w:szCs w:val="24"/>
        </w:rPr>
        <w:t>/2007</w:t>
      </w:r>
      <w:r w:rsidR="00791B70">
        <w:rPr>
          <w:rFonts w:ascii="Times New Roman" w:eastAsia="Times New Roman" w:hAnsi="Times New Roman" w:cs="Times New Roman"/>
          <w:color w:val="222222"/>
          <w:sz w:val="24"/>
          <w:szCs w:val="24"/>
        </w:rPr>
        <w:t xml:space="preserve"> ultimately were, and the extent to which the Court achieved them.</w:t>
      </w:r>
    </w:p>
    <w:p w14:paraId="4D654DF6" w14:textId="02FE32DF" w:rsidR="00204055" w:rsidRPr="00862861" w:rsidRDefault="00791B70" w:rsidP="00204055">
      <w:pPr>
        <w:shd w:val="clear" w:color="auto" w:fill="FFFFFF"/>
        <w:spacing w:after="0" w:line="48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rPr>
        <w:t>Against what may have been envisaged, w</w:t>
      </w:r>
      <w:r w:rsidR="00204055" w:rsidRPr="00862861">
        <w:rPr>
          <w:rFonts w:ascii="Times New Roman" w:eastAsia="Times New Roman" w:hAnsi="Times New Roman" w:cs="Times New Roman"/>
          <w:color w:val="222222"/>
          <w:sz w:val="24"/>
          <w:szCs w:val="24"/>
        </w:rPr>
        <w:t xml:space="preserve">e </w:t>
      </w:r>
      <w:r w:rsidR="00204055" w:rsidRPr="00DE3A10">
        <w:rPr>
          <w:rFonts w:ascii="Times New Roman" w:eastAsia="Times New Roman" w:hAnsi="Times New Roman" w:cs="Times New Roman"/>
          <w:color w:val="222222"/>
          <w:sz w:val="24"/>
          <w:szCs w:val="24"/>
        </w:rPr>
        <w:t xml:space="preserve">show that the incorporation of the new </w:t>
      </w:r>
      <w:r w:rsidR="00554406">
        <w:rPr>
          <w:rFonts w:ascii="Times New Roman" w:eastAsia="Times New Roman" w:hAnsi="Times New Roman" w:cs="Times New Roman"/>
          <w:color w:val="222222"/>
          <w:sz w:val="24"/>
          <w:szCs w:val="24"/>
        </w:rPr>
        <w:t xml:space="preserve">formal </w:t>
      </w:r>
      <w:r w:rsidR="00204055" w:rsidRPr="00DE3A10">
        <w:rPr>
          <w:rFonts w:ascii="Times New Roman" w:eastAsia="Times New Roman" w:hAnsi="Times New Roman" w:cs="Times New Roman"/>
          <w:color w:val="222222"/>
          <w:sz w:val="24"/>
          <w:szCs w:val="24"/>
        </w:rPr>
        <w:t xml:space="preserve">dismissal grounds </w:t>
      </w:r>
      <w:r w:rsidR="00554406">
        <w:rPr>
          <w:rFonts w:ascii="Times New Roman" w:eastAsia="Times New Roman" w:hAnsi="Times New Roman" w:cs="Times New Roman"/>
          <w:color w:val="222222"/>
          <w:sz w:val="24"/>
          <w:szCs w:val="24"/>
        </w:rPr>
        <w:t xml:space="preserve">by </w:t>
      </w:r>
      <w:proofErr w:type="spellStart"/>
      <w:r w:rsidR="00554406" w:rsidRPr="00C750D7">
        <w:rPr>
          <w:rFonts w:ascii="Times New Roman" w:eastAsia="Times New Roman" w:hAnsi="Times New Roman" w:cs="Times New Roman"/>
          <w:i/>
          <w:color w:val="222222"/>
          <w:sz w:val="24"/>
          <w:szCs w:val="24"/>
        </w:rPr>
        <w:t>Acordada</w:t>
      </w:r>
      <w:proofErr w:type="spellEnd"/>
      <w:r w:rsidR="00554406" w:rsidRPr="00C750D7">
        <w:rPr>
          <w:rFonts w:ascii="Times New Roman" w:eastAsia="Times New Roman" w:hAnsi="Times New Roman" w:cs="Times New Roman"/>
          <w:i/>
          <w:color w:val="222222"/>
          <w:sz w:val="24"/>
          <w:szCs w:val="24"/>
        </w:rPr>
        <w:t xml:space="preserve"> 4/2007</w:t>
      </w:r>
      <w:r w:rsidR="00554406">
        <w:rPr>
          <w:rFonts w:ascii="Times New Roman" w:eastAsia="Times New Roman" w:hAnsi="Times New Roman" w:cs="Times New Roman"/>
          <w:color w:val="222222"/>
          <w:sz w:val="24"/>
          <w:szCs w:val="24"/>
        </w:rPr>
        <w:t xml:space="preserve"> </w:t>
      </w:r>
      <w:r w:rsidR="00204055" w:rsidRPr="00DE3A10">
        <w:rPr>
          <w:rFonts w:ascii="Times New Roman" w:eastAsia="Times New Roman" w:hAnsi="Times New Roman" w:cs="Times New Roman"/>
          <w:color w:val="222222"/>
          <w:sz w:val="24"/>
          <w:szCs w:val="24"/>
        </w:rPr>
        <w:t xml:space="preserve">has not been sufficient to obtain efficient case duration nor to increase the CSJN’s output. </w:t>
      </w:r>
      <w:r w:rsidR="00204055">
        <w:rPr>
          <w:rFonts w:ascii="Times New Roman" w:eastAsia="Times New Roman" w:hAnsi="Times New Roman" w:cs="Times New Roman"/>
          <w:color w:val="222222"/>
          <w:sz w:val="24"/>
          <w:szCs w:val="24"/>
        </w:rPr>
        <w:t>While o</w:t>
      </w:r>
      <w:r w:rsidR="00204055" w:rsidRPr="00DE3A10">
        <w:rPr>
          <w:rFonts w:ascii="Times New Roman" w:eastAsia="Times New Roman" w:hAnsi="Times New Roman" w:cs="Times New Roman"/>
          <w:color w:val="222222"/>
          <w:sz w:val="24"/>
          <w:szCs w:val="24"/>
        </w:rPr>
        <w:t xml:space="preserve">n average it takes </w:t>
      </w:r>
      <w:r w:rsidR="00204055">
        <w:rPr>
          <w:rFonts w:ascii="Times New Roman" w:eastAsia="Times New Roman" w:hAnsi="Times New Roman" w:cs="Times New Roman"/>
          <w:color w:val="222222"/>
          <w:sz w:val="24"/>
          <w:szCs w:val="24"/>
        </w:rPr>
        <w:t xml:space="preserve">almost </w:t>
      </w:r>
      <w:r w:rsidR="00204055" w:rsidRPr="00DE3A10">
        <w:rPr>
          <w:rFonts w:ascii="Times New Roman" w:eastAsia="Times New Roman" w:hAnsi="Times New Roman" w:cs="Times New Roman"/>
          <w:color w:val="222222"/>
          <w:sz w:val="24"/>
          <w:szCs w:val="24"/>
        </w:rPr>
        <w:t>320 days for an appeal to be dismissed</w:t>
      </w:r>
      <w:r w:rsidR="00204055">
        <w:rPr>
          <w:rFonts w:ascii="Times New Roman" w:eastAsia="Times New Roman" w:hAnsi="Times New Roman" w:cs="Times New Roman"/>
          <w:color w:val="222222"/>
          <w:sz w:val="24"/>
          <w:szCs w:val="24"/>
        </w:rPr>
        <w:t>, our multivariate analysis shows that several aspects affect appeal duration</w:t>
      </w:r>
      <w:r w:rsidR="00204055" w:rsidRPr="00DE3A10">
        <w:rPr>
          <w:rFonts w:ascii="Times New Roman" w:eastAsia="Times New Roman" w:hAnsi="Times New Roman" w:cs="Times New Roman"/>
          <w:color w:val="222222"/>
          <w:sz w:val="24"/>
          <w:szCs w:val="24"/>
        </w:rPr>
        <w:t>.</w:t>
      </w:r>
      <w:r w:rsidR="00204055">
        <w:rPr>
          <w:rFonts w:ascii="Times New Roman" w:eastAsia="Times New Roman" w:hAnsi="Times New Roman" w:cs="Times New Roman"/>
          <w:color w:val="222222"/>
          <w:sz w:val="24"/>
          <w:szCs w:val="24"/>
        </w:rPr>
        <w:t xml:space="preserve"> For instance, Labor Law appeals need on average about 100 more days to be resolved. Similarly, the type of error found, namely violations related to the maximum number of pages or the maximum number of lines per page, can be associated to more delays.</w:t>
      </w:r>
      <w:r w:rsidR="00204055" w:rsidRPr="00DE3A10">
        <w:rPr>
          <w:rFonts w:ascii="Times New Roman" w:eastAsia="Times New Roman" w:hAnsi="Times New Roman" w:cs="Times New Roman"/>
          <w:color w:val="222222"/>
          <w:sz w:val="24"/>
          <w:szCs w:val="24"/>
        </w:rPr>
        <w:t xml:space="preserve"> </w:t>
      </w:r>
      <w:r w:rsidR="00204055">
        <w:rPr>
          <w:rFonts w:ascii="Times New Roman" w:eastAsia="Times New Roman" w:hAnsi="Times New Roman" w:cs="Times New Roman"/>
          <w:color w:val="222222"/>
          <w:sz w:val="24"/>
          <w:szCs w:val="24"/>
        </w:rPr>
        <w:t>The duration of these types of appeal dismissals’ likely affect time to case disposition of other type of appeals and could help explain the lack of output increase.</w:t>
      </w:r>
      <w:r w:rsidR="00204055" w:rsidRPr="00862861">
        <w:rPr>
          <w:rFonts w:ascii="Times New Roman" w:eastAsia="Times New Roman" w:hAnsi="Times New Roman" w:cs="Times New Roman"/>
          <w:color w:val="222222"/>
          <w:sz w:val="24"/>
          <w:szCs w:val="24"/>
        </w:rPr>
        <w:t xml:space="preserve"> </w:t>
      </w:r>
    </w:p>
    <w:p w14:paraId="426CABB6" w14:textId="77777777" w:rsidR="00204055" w:rsidRPr="003403BC" w:rsidRDefault="00204055" w:rsidP="00085379">
      <w:pPr>
        <w:shd w:val="clear" w:color="auto" w:fill="FFFFFF"/>
        <w:spacing w:after="0" w:line="480" w:lineRule="auto"/>
        <w:jc w:val="both"/>
        <w:rPr>
          <w:rFonts w:ascii="Times New Roman" w:eastAsia="Times New Roman" w:hAnsi="Times New Roman" w:cs="Times New Roman"/>
          <w:color w:val="222222"/>
          <w:sz w:val="24"/>
          <w:szCs w:val="24"/>
        </w:rPr>
      </w:pPr>
      <w:r w:rsidRPr="00DE3A10">
        <w:rPr>
          <w:rFonts w:ascii="Times New Roman" w:eastAsia="Times New Roman" w:hAnsi="Times New Roman" w:cs="Times New Roman"/>
          <w:color w:val="222222"/>
          <w:sz w:val="24"/>
          <w:szCs w:val="24"/>
        </w:rPr>
        <w:lastRenderedPageBreak/>
        <w:t xml:space="preserve">The paper proceeds as follows. Section II will introduce relevant background information on CSJN. Section III presents our main hypotheses. Section IV describes our data collection. Sections V and VI present, respectively, descriptive statistics and our main results. Section VII </w:t>
      </w:r>
      <w:r w:rsidRPr="00DE3A10">
        <w:rPr>
          <w:rFonts w:ascii="Times New Roman" w:hAnsi="Times New Roman" w:cs="Times New Roman"/>
          <w:sz w:val="24"/>
          <w:szCs w:val="24"/>
        </w:rPr>
        <w:t>discusses our main</w:t>
      </w:r>
      <w:r>
        <w:rPr>
          <w:rFonts w:ascii="Times New Roman" w:hAnsi="Times New Roman" w:cs="Times New Roman"/>
          <w:sz w:val="24"/>
          <w:szCs w:val="24"/>
        </w:rPr>
        <w:t xml:space="preserve"> </w:t>
      </w:r>
      <w:r w:rsidRPr="00862861">
        <w:rPr>
          <w:rFonts w:ascii="Times New Roman" w:hAnsi="Times New Roman" w:cs="Times New Roman"/>
          <w:sz w:val="24"/>
          <w:szCs w:val="24"/>
        </w:rPr>
        <w:t>results</w:t>
      </w:r>
      <w:r w:rsidRPr="00DE3A10">
        <w:rPr>
          <w:rFonts w:ascii="Times New Roman" w:hAnsi="Times New Roman" w:cs="Times New Roman"/>
          <w:sz w:val="24"/>
          <w:szCs w:val="24"/>
        </w:rPr>
        <w:t>.</w:t>
      </w:r>
      <w:r w:rsidRPr="003403BC">
        <w:rPr>
          <w:rFonts w:ascii="Times New Roman" w:hAnsi="Times New Roman" w:cs="Times New Roman"/>
          <w:sz w:val="24"/>
          <w:szCs w:val="24"/>
        </w:rPr>
        <w:t xml:space="preserve"> </w:t>
      </w:r>
    </w:p>
    <w:p w14:paraId="5E043AAF" w14:textId="77777777" w:rsidR="00204055" w:rsidRPr="003403BC" w:rsidRDefault="00204055" w:rsidP="00085379">
      <w:pPr>
        <w:shd w:val="clear" w:color="auto" w:fill="FFFFFF"/>
        <w:spacing w:after="0" w:line="480" w:lineRule="auto"/>
        <w:jc w:val="both"/>
        <w:rPr>
          <w:rFonts w:ascii="Times New Roman" w:eastAsia="Times New Roman" w:hAnsi="Times New Roman" w:cs="Times New Roman"/>
          <w:color w:val="222222"/>
          <w:sz w:val="24"/>
          <w:szCs w:val="24"/>
        </w:rPr>
      </w:pPr>
    </w:p>
    <w:p w14:paraId="634C360C" w14:textId="77777777" w:rsidR="00204055" w:rsidRPr="003403BC" w:rsidRDefault="00204055" w:rsidP="00085379">
      <w:pPr>
        <w:shd w:val="clear" w:color="auto" w:fill="FFFFFF"/>
        <w:spacing w:after="0" w:line="480" w:lineRule="auto"/>
        <w:jc w:val="both"/>
        <w:rPr>
          <w:rFonts w:ascii="Times New Roman" w:eastAsia="Times New Roman" w:hAnsi="Times New Roman" w:cs="Times New Roman"/>
          <w:b/>
          <w:color w:val="222222"/>
          <w:sz w:val="24"/>
          <w:szCs w:val="24"/>
        </w:rPr>
      </w:pPr>
      <w:r w:rsidRPr="003403BC">
        <w:rPr>
          <w:rFonts w:ascii="Times New Roman" w:eastAsia="Times New Roman" w:hAnsi="Times New Roman" w:cs="Times New Roman"/>
          <w:b/>
          <w:color w:val="222222"/>
          <w:sz w:val="24"/>
          <w:szCs w:val="24"/>
        </w:rPr>
        <w:t>II. LEGAL AND INSTITUTIONAL BACKGROUND</w:t>
      </w:r>
    </w:p>
    <w:p w14:paraId="7DC24877" w14:textId="3D229956" w:rsidR="00204055" w:rsidRPr="003403BC" w:rsidRDefault="00204055" w:rsidP="00085379">
      <w:pPr>
        <w:autoSpaceDE w:val="0"/>
        <w:autoSpaceDN w:val="0"/>
        <w:adjustRightInd w:val="0"/>
        <w:spacing w:after="0" w:line="480" w:lineRule="auto"/>
        <w:jc w:val="both"/>
        <w:rPr>
          <w:rFonts w:ascii="Times New Roman" w:eastAsia="Times New Roman" w:hAnsi="Times New Roman" w:cs="Times New Roman"/>
          <w:color w:val="222222"/>
          <w:sz w:val="24"/>
          <w:szCs w:val="24"/>
        </w:rPr>
      </w:pPr>
      <w:r w:rsidRPr="003403BC">
        <w:rPr>
          <w:rFonts w:ascii="Times New Roman" w:eastAsia="Times New Roman" w:hAnsi="Times New Roman" w:cs="Times New Roman"/>
          <w:color w:val="222222"/>
          <w:sz w:val="24"/>
          <w:szCs w:val="24"/>
        </w:rPr>
        <w:t>CSJN has been the head of the Argentine judiciary since its creation in 1863.</w:t>
      </w:r>
      <w:r w:rsidRPr="003403BC">
        <w:rPr>
          <w:rStyle w:val="EndnoteReference"/>
          <w:rFonts w:ascii="Times New Roman" w:eastAsia="Times New Roman" w:hAnsi="Times New Roman" w:cs="Times New Roman"/>
          <w:color w:val="222222"/>
          <w:sz w:val="24"/>
          <w:szCs w:val="24"/>
        </w:rPr>
        <w:endnoteReference w:id="2"/>
      </w:r>
      <w:r w:rsidRPr="003403B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Yet, a</w:t>
      </w:r>
      <w:r w:rsidRPr="003403BC">
        <w:rPr>
          <w:rFonts w:ascii="Times New Roman" w:eastAsia="Times New Roman" w:hAnsi="Times New Roman" w:cs="Times New Roman"/>
          <w:color w:val="222222"/>
          <w:sz w:val="24"/>
          <w:szCs w:val="24"/>
        </w:rPr>
        <w:t>fter the 2001 economic crisis, CSJN and the judiciary in general were at the center of the legitimacy crisis that affected public offices more broadly but that had also led to CSJN’s “worst crisis of credibility in its institutional history”.</w:t>
      </w:r>
      <w:r w:rsidRPr="003403BC">
        <w:rPr>
          <w:rStyle w:val="EndnoteReference"/>
          <w:rFonts w:ascii="Times New Roman" w:eastAsia="Times New Roman" w:hAnsi="Times New Roman" w:cs="Times New Roman"/>
          <w:color w:val="222222"/>
          <w:sz w:val="24"/>
          <w:szCs w:val="24"/>
        </w:rPr>
        <w:endnoteReference w:id="3"/>
      </w:r>
      <w:r w:rsidRPr="003403BC">
        <w:rPr>
          <w:rFonts w:ascii="Times New Roman" w:eastAsia="Times New Roman" w:hAnsi="Times New Roman" w:cs="Times New Roman"/>
          <w:color w:val="222222"/>
          <w:sz w:val="24"/>
          <w:szCs w:val="24"/>
        </w:rPr>
        <w:t xml:space="preserve"> CSJN was significantly renovated by the first Kirchner administration (2003-7). Since then, the new Court struggled to re-legitimize itself. Among its actions directed towards this goal, CSJN has sought to improve the efficiency and transparency of its decision-making. In 2007, the Court adopted </w:t>
      </w:r>
      <w:proofErr w:type="spellStart"/>
      <w:r w:rsidRPr="003403BC">
        <w:rPr>
          <w:rFonts w:ascii="Times New Roman" w:eastAsia="Times New Roman" w:hAnsi="Times New Roman" w:cs="Times New Roman"/>
          <w:i/>
          <w:color w:val="222222"/>
          <w:sz w:val="24"/>
          <w:szCs w:val="24"/>
        </w:rPr>
        <w:t>Acordada</w:t>
      </w:r>
      <w:proofErr w:type="spellEnd"/>
      <w:r w:rsidRPr="003403BC">
        <w:rPr>
          <w:rFonts w:ascii="Times New Roman" w:eastAsia="Times New Roman" w:hAnsi="Times New Roman" w:cs="Times New Roman"/>
          <w:i/>
          <w:color w:val="222222"/>
          <w:sz w:val="24"/>
          <w:szCs w:val="24"/>
        </w:rPr>
        <w:t xml:space="preserve"> 4/2007 </w:t>
      </w:r>
      <w:r w:rsidRPr="003403BC">
        <w:rPr>
          <w:rFonts w:ascii="Times New Roman" w:eastAsia="Times New Roman" w:hAnsi="Times New Roman" w:cs="Times New Roman"/>
          <w:color w:val="222222"/>
          <w:sz w:val="24"/>
          <w:szCs w:val="24"/>
        </w:rPr>
        <w:t xml:space="preserve">(from now on </w:t>
      </w:r>
      <w:proofErr w:type="spellStart"/>
      <w:r w:rsidRPr="003403BC">
        <w:rPr>
          <w:rFonts w:ascii="Times New Roman" w:eastAsia="Times New Roman" w:hAnsi="Times New Roman" w:cs="Times New Roman"/>
          <w:i/>
          <w:color w:val="222222"/>
          <w:sz w:val="24"/>
          <w:szCs w:val="24"/>
        </w:rPr>
        <w:t>Acordada</w:t>
      </w:r>
      <w:proofErr w:type="spellEnd"/>
      <w:r w:rsidRPr="003403BC">
        <w:rPr>
          <w:rFonts w:ascii="Times New Roman" w:eastAsia="Times New Roman" w:hAnsi="Times New Roman" w:cs="Times New Roman"/>
          <w:color w:val="222222"/>
          <w:sz w:val="24"/>
          <w:szCs w:val="24"/>
        </w:rPr>
        <w:t>) as one of its key measures to streamline and facilitate appeals before it, as well as making decision-making more transparent and efficient.</w:t>
      </w:r>
    </w:p>
    <w:p w14:paraId="216302D4" w14:textId="77777777" w:rsidR="00204055" w:rsidRPr="003403BC" w:rsidRDefault="00204055" w:rsidP="00085379">
      <w:pPr>
        <w:shd w:val="clear" w:color="auto" w:fill="FFFFFF"/>
        <w:spacing w:after="0" w:line="480" w:lineRule="auto"/>
        <w:jc w:val="both"/>
        <w:rPr>
          <w:rFonts w:ascii="Times New Roman" w:eastAsia="Times New Roman" w:hAnsi="Times New Roman" w:cs="Times New Roman"/>
          <w:color w:val="222222"/>
          <w:sz w:val="24"/>
          <w:szCs w:val="24"/>
        </w:rPr>
      </w:pPr>
      <w:r w:rsidRPr="003403BC">
        <w:rPr>
          <w:rFonts w:ascii="Times New Roman" w:eastAsia="Times New Roman" w:hAnsi="Times New Roman" w:cs="Times New Roman"/>
          <w:color w:val="222222"/>
          <w:sz w:val="24"/>
          <w:szCs w:val="24"/>
        </w:rPr>
        <w:t xml:space="preserve">Before introducing the basic tenets of </w:t>
      </w:r>
      <w:proofErr w:type="spellStart"/>
      <w:r w:rsidRPr="003403BC">
        <w:rPr>
          <w:rFonts w:ascii="Times New Roman" w:eastAsia="Times New Roman" w:hAnsi="Times New Roman" w:cs="Times New Roman"/>
          <w:i/>
          <w:color w:val="222222"/>
          <w:sz w:val="24"/>
          <w:szCs w:val="24"/>
        </w:rPr>
        <w:t>Acordada</w:t>
      </w:r>
      <w:proofErr w:type="spellEnd"/>
      <w:r w:rsidRPr="003403BC">
        <w:rPr>
          <w:rFonts w:ascii="Times New Roman" w:eastAsia="Times New Roman" w:hAnsi="Times New Roman" w:cs="Times New Roman"/>
          <w:color w:val="222222"/>
          <w:sz w:val="24"/>
          <w:szCs w:val="24"/>
        </w:rPr>
        <w:t xml:space="preserve">, it is necessary to succinctly explain some basic facts about the jurisdiction of the Argentine Supreme Court. CSJN intervenes both through its </w:t>
      </w:r>
      <w:proofErr w:type="spellStart"/>
      <w:r w:rsidRPr="003403BC">
        <w:rPr>
          <w:rFonts w:ascii="Times New Roman" w:eastAsia="Times New Roman" w:hAnsi="Times New Roman" w:cs="Times New Roman"/>
          <w:color w:val="222222"/>
          <w:sz w:val="24"/>
          <w:szCs w:val="24"/>
        </w:rPr>
        <w:t>originary</w:t>
      </w:r>
      <w:proofErr w:type="spellEnd"/>
      <w:r w:rsidRPr="003403BC">
        <w:rPr>
          <w:rFonts w:ascii="Times New Roman" w:eastAsia="Times New Roman" w:hAnsi="Times New Roman" w:cs="Times New Roman"/>
          <w:color w:val="222222"/>
          <w:sz w:val="24"/>
          <w:szCs w:val="24"/>
        </w:rPr>
        <w:t xml:space="preserve"> jurisdiction and as the tribunal of last resort.</w:t>
      </w:r>
      <w:r w:rsidRPr="003403BC">
        <w:rPr>
          <w:rStyle w:val="EndnoteReference"/>
          <w:rFonts w:ascii="Times New Roman" w:eastAsia="Times New Roman" w:hAnsi="Times New Roman" w:cs="Times New Roman"/>
          <w:color w:val="222222"/>
          <w:sz w:val="24"/>
          <w:szCs w:val="24"/>
        </w:rPr>
        <w:endnoteReference w:id="4"/>
      </w:r>
      <w:r w:rsidRPr="003403BC">
        <w:rPr>
          <w:rFonts w:ascii="Times New Roman" w:eastAsia="Times New Roman" w:hAnsi="Times New Roman" w:cs="Times New Roman"/>
          <w:color w:val="222222"/>
          <w:sz w:val="24"/>
          <w:szCs w:val="24"/>
        </w:rPr>
        <w:t xml:space="preserve"> Its </w:t>
      </w:r>
      <w:proofErr w:type="spellStart"/>
      <w:r w:rsidRPr="003403BC">
        <w:rPr>
          <w:rFonts w:ascii="Times New Roman" w:eastAsia="Times New Roman" w:hAnsi="Times New Roman" w:cs="Times New Roman"/>
          <w:color w:val="222222"/>
          <w:sz w:val="24"/>
          <w:szCs w:val="24"/>
        </w:rPr>
        <w:t>originary</w:t>
      </w:r>
      <w:proofErr w:type="spellEnd"/>
      <w:r w:rsidRPr="003403BC">
        <w:rPr>
          <w:rFonts w:ascii="Times New Roman" w:eastAsia="Times New Roman" w:hAnsi="Times New Roman" w:cs="Times New Roman"/>
          <w:color w:val="222222"/>
          <w:sz w:val="24"/>
          <w:szCs w:val="24"/>
        </w:rPr>
        <w:t xml:space="preserve"> jurisdiction is used for cases related to foreign ambassadors, </w:t>
      </w:r>
      <w:r w:rsidRPr="003403BC">
        <w:rPr>
          <w:rFonts w:ascii="Times New Roman" w:eastAsia="Times New Roman" w:hAnsi="Times New Roman" w:cs="Times New Roman"/>
          <w:color w:val="222222"/>
          <w:sz w:val="24"/>
          <w:szCs w:val="24"/>
        </w:rPr>
        <w:lastRenderedPageBreak/>
        <w:t>ministers or consuls, or cases between provinces or a province and a foreign state.</w:t>
      </w:r>
      <w:r w:rsidRPr="003403BC">
        <w:rPr>
          <w:rStyle w:val="EndnoteReference"/>
          <w:rFonts w:ascii="Times New Roman" w:eastAsia="Times New Roman" w:hAnsi="Times New Roman" w:cs="Times New Roman"/>
          <w:color w:val="222222"/>
          <w:sz w:val="24"/>
          <w:szCs w:val="24"/>
        </w:rPr>
        <w:endnoteReference w:id="5"/>
      </w:r>
      <w:r w:rsidRPr="003403BC">
        <w:rPr>
          <w:rFonts w:ascii="Times New Roman" w:eastAsia="Times New Roman" w:hAnsi="Times New Roman" w:cs="Times New Roman"/>
          <w:color w:val="222222"/>
          <w:sz w:val="24"/>
          <w:szCs w:val="24"/>
        </w:rPr>
        <w:t xml:space="preserve"> The Court’s appellate jurisdiction</w:t>
      </w:r>
      <w:r w:rsidRPr="003403BC">
        <w:rPr>
          <w:rStyle w:val="EndnoteReference"/>
          <w:rFonts w:ascii="Times New Roman" w:hAnsi="Times New Roman" w:cs="Times New Roman"/>
          <w:color w:val="000000"/>
          <w:sz w:val="24"/>
          <w:szCs w:val="24"/>
          <w:shd w:val="clear" w:color="auto" w:fill="FFFFFF"/>
        </w:rPr>
        <w:endnoteReference w:id="6"/>
      </w:r>
      <w:r w:rsidRPr="003403BC">
        <w:rPr>
          <w:rFonts w:ascii="Times New Roman" w:eastAsia="Times New Roman" w:hAnsi="Times New Roman" w:cs="Times New Roman"/>
          <w:color w:val="222222"/>
          <w:sz w:val="24"/>
          <w:szCs w:val="24"/>
        </w:rPr>
        <w:t xml:space="preserve"> includes appeals of cases decided by federal or national courts,</w:t>
      </w:r>
      <w:r w:rsidRPr="003403BC">
        <w:rPr>
          <w:rStyle w:val="EndnoteReference"/>
          <w:rFonts w:ascii="Times New Roman" w:eastAsia="Times New Roman" w:hAnsi="Times New Roman" w:cs="Times New Roman"/>
          <w:color w:val="222222"/>
          <w:sz w:val="24"/>
          <w:szCs w:val="24"/>
        </w:rPr>
        <w:endnoteReference w:id="7"/>
      </w:r>
      <w:r w:rsidRPr="003403BC">
        <w:rPr>
          <w:rFonts w:ascii="Times New Roman" w:eastAsia="Times New Roman" w:hAnsi="Times New Roman" w:cs="Times New Roman"/>
          <w:color w:val="222222"/>
          <w:sz w:val="24"/>
          <w:szCs w:val="24"/>
        </w:rPr>
        <w:t xml:space="preserve"> as well as appeals from provincial supreme courts.</w:t>
      </w:r>
      <w:r w:rsidRPr="003403BC">
        <w:rPr>
          <w:rStyle w:val="EndnoteReference"/>
          <w:rFonts w:ascii="Times New Roman" w:eastAsia="Times New Roman" w:hAnsi="Times New Roman" w:cs="Times New Roman"/>
          <w:color w:val="222222"/>
          <w:sz w:val="24"/>
          <w:szCs w:val="24"/>
        </w:rPr>
        <w:endnoteReference w:id="8"/>
      </w:r>
      <w:r w:rsidRPr="003403BC">
        <w:rPr>
          <w:rFonts w:ascii="Times New Roman" w:eastAsia="Times New Roman" w:hAnsi="Times New Roman" w:cs="Times New Roman"/>
          <w:color w:val="222222"/>
          <w:sz w:val="24"/>
          <w:szCs w:val="24"/>
        </w:rPr>
        <w:t xml:space="preserve"> The standard appellate jurisdiction is known as Extraordinary Appeal (</w:t>
      </w:r>
      <w:proofErr w:type="spellStart"/>
      <w:r w:rsidRPr="003403BC">
        <w:rPr>
          <w:rFonts w:ascii="Times New Roman" w:eastAsia="Times New Roman" w:hAnsi="Times New Roman" w:cs="Times New Roman"/>
          <w:i/>
          <w:color w:val="222222"/>
          <w:sz w:val="24"/>
          <w:szCs w:val="24"/>
        </w:rPr>
        <w:t>Recurso</w:t>
      </w:r>
      <w:proofErr w:type="spellEnd"/>
      <w:r w:rsidRPr="003403BC">
        <w:rPr>
          <w:rFonts w:ascii="Times New Roman" w:eastAsia="Times New Roman" w:hAnsi="Times New Roman" w:cs="Times New Roman"/>
          <w:i/>
          <w:color w:val="222222"/>
          <w:sz w:val="24"/>
          <w:szCs w:val="24"/>
        </w:rPr>
        <w:t xml:space="preserve"> </w:t>
      </w:r>
      <w:proofErr w:type="spellStart"/>
      <w:r w:rsidRPr="003403BC">
        <w:rPr>
          <w:rFonts w:ascii="Times New Roman" w:eastAsia="Times New Roman" w:hAnsi="Times New Roman" w:cs="Times New Roman"/>
          <w:i/>
          <w:color w:val="222222"/>
          <w:sz w:val="24"/>
          <w:szCs w:val="24"/>
        </w:rPr>
        <w:t>Extraordinario</w:t>
      </w:r>
      <w:proofErr w:type="spellEnd"/>
      <w:r w:rsidRPr="003403BC">
        <w:rPr>
          <w:rFonts w:ascii="Times New Roman" w:eastAsia="Times New Roman" w:hAnsi="Times New Roman" w:cs="Times New Roman"/>
          <w:i/>
          <w:color w:val="222222"/>
          <w:sz w:val="24"/>
          <w:szCs w:val="24"/>
        </w:rPr>
        <w:t xml:space="preserve"> Federal</w:t>
      </w:r>
      <w:r w:rsidRPr="003403BC">
        <w:rPr>
          <w:rFonts w:ascii="Times New Roman" w:eastAsia="Times New Roman" w:hAnsi="Times New Roman" w:cs="Times New Roman"/>
          <w:color w:val="222222"/>
          <w:sz w:val="24"/>
          <w:szCs w:val="24"/>
        </w:rPr>
        <w:t>; hereinafter, REX) and it has three different sources. A first possibility arises when a case questions the validity of a Treaty, federal law or action undertaken under color of federal authority and the local court holds against the validity of the Treaty, law or the federal authority. A second alternative arises when the validity of a provincial law, decree or act has been questioned as unconstitutional or contrary to a Treaty or federal law, and the provincial court decides in favor of the validity of the provincial measure. Finally, the Supreme Court may intervene when a party invokes a Constitutional clause, a Treaty, a law, or a grant of federal authority and the provincial court decides against the norm or privilege invoked.</w:t>
      </w:r>
      <w:r w:rsidRPr="003403BC">
        <w:rPr>
          <w:rStyle w:val="EndnoteReference"/>
          <w:rFonts w:ascii="Times New Roman" w:eastAsia="Times New Roman" w:hAnsi="Times New Roman" w:cs="Times New Roman"/>
          <w:color w:val="222222"/>
          <w:sz w:val="24"/>
          <w:szCs w:val="24"/>
        </w:rPr>
        <w:endnoteReference w:id="9"/>
      </w:r>
      <w:r w:rsidRPr="003403BC">
        <w:rPr>
          <w:rFonts w:ascii="Times New Roman" w:eastAsia="Times New Roman" w:hAnsi="Times New Roman" w:cs="Times New Roman"/>
          <w:color w:val="222222"/>
          <w:sz w:val="24"/>
          <w:szCs w:val="24"/>
        </w:rPr>
        <w:t xml:space="preserve"> There is a separate kind of appellate jurisdiction known as ordinary appeals, which are reserved for cases in which the State is a party and the amount of the claim exceeds a certain figure.</w:t>
      </w:r>
      <w:r w:rsidRPr="003403BC">
        <w:rPr>
          <w:rStyle w:val="EndnoteReference"/>
          <w:rFonts w:ascii="Times New Roman" w:eastAsia="Times New Roman" w:hAnsi="Times New Roman" w:cs="Times New Roman"/>
          <w:color w:val="222222"/>
          <w:sz w:val="24"/>
          <w:szCs w:val="24"/>
        </w:rPr>
        <w:endnoteReference w:id="10"/>
      </w:r>
      <w:r w:rsidRPr="003403BC">
        <w:rPr>
          <w:rFonts w:ascii="Times New Roman" w:eastAsia="Times New Roman" w:hAnsi="Times New Roman" w:cs="Times New Roman"/>
          <w:color w:val="222222"/>
          <w:sz w:val="24"/>
          <w:szCs w:val="24"/>
        </w:rPr>
        <w:t xml:space="preserve"> This form of appellate jurisdiction is subjected to different rules and it is not addressed in this study. CSJN vindicated quite early its authority to perform constitutional review, despite the absence of an explicit Constitutional clause providing such authority.</w:t>
      </w:r>
      <w:r w:rsidRPr="003403BC">
        <w:rPr>
          <w:rStyle w:val="EndnoteReference"/>
          <w:rFonts w:ascii="Times New Roman" w:eastAsia="Times New Roman" w:hAnsi="Times New Roman" w:cs="Times New Roman"/>
          <w:color w:val="222222"/>
          <w:sz w:val="24"/>
          <w:szCs w:val="24"/>
        </w:rPr>
        <w:endnoteReference w:id="11"/>
      </w:r>
      <w:r w:rsidRPr="003403BC">
        <w:rPr>
          <w:rFonts w:ascii="Times New Roman" w:eastAsia="Times New Roman" w:hAnsi="Times New Roman" w:cs="Times New Roman"/>
          <w:color w:val="222222"/>
          <w:sz w:val="24"/>
          <w:szCs w:val="24"/>
        </w:rPr>
        <w:t xml:space="preserve"> Constitutional adjudication also followed the American model of a decentralized </w:t>
      </w:r>
      <w:r w:rsidRPr="003403BC">
        <w:rPr>
          <w:rFonts w:ascii="Times New Roman" w:eastAsia="Times New Roman" w:hAnsi="Times New Roman" w:cs="Times New Roman"/>
          <w:color w:val="222222"/>
          <w:sz w:val="24"/>
          <w:szCs w:val="24"/>
        </w:rPr>
        <w:lastRenderedPageBreak/>
        <w:t xml:space="preserve">and concrete review. Unlike its American counterpart, however, Argentina lacks a formal doctrine of </w:t>
      </w:r>
      <w:r w:rsidRPr="003403BC">
        <w:rPr>
          <w:rFonts w:ascii="Times New Roman" w:eastAsia="Times New Roman" w:hAnsi="Times New Roman" w:cs="Times New Roman"/>
          <w:i/>
          <w:color w:val="222222"/>
          <w:sz w:val="24"/>
          <w:szCs w:val="24"/>
        </w:rPr>
        <w:t>stare decisis</w:t>
      </w:r>
      <w:r w:rsidRPr="003403BC">
        <w:rPr>
          <w:rFonts w:ascii="Times New Roman" w:eastAsia="Times New Roman" w:hAnsi="Times New Roman" w:cs="Times New Roman"/>
          <w:color w:val="222222"/>
          <w:sz w:val="24"/>
          <w:szCs w:val="24"/>
        </w:rPr>
        <w:t>.</w:t>
      </w:r>
    </w:p>
    <w:p w14:paraId="6E7053C2" w14:textId="77777777" w:rsidR="00204055" w:rsidRPr="003403BC" w:rsidRDefault="00204055" w:rsidP="00085379">
      <w:pPr>
        <w:shd w:val="clear" w:color="auto" w:fill="FFFFFF"/>
        <w:spacing w:after="0" w:line="480" w:lineRule="auto"/>
        <w:jc w:val="both"/>
        <w:rPr>
          <w:rFonts w:ascii="Times New Roman" w:eastAsia="Times New Roman" w:hAnsi="Times New Roman" w:cs="Times New Roman"/>
          <w:color w:val="222222"/>
          <w:sz w:val="24"/>
          <w:szCs w:val="24"/>
        </w:rPr>
      </w:pPr>
      <w:r w:rsidRPr="003403BC">
        <w:rPr>
          <w:rFonts w:ascii="Times New Roman" w:eastAsia="Times New Roman" w:hAnsi="Times New Roman" w:cs="Times New Roman"/>
          <w:color w:val="222222"/>
          <w:sz w:val="24"/>
          <w:szCs w:val="24"/>
        </w:rPr>
        <w:t xml:space="preserve">In order to reach CSJN, the appellant needs to file a complaint –a REX- in the relevant lower court, which decides whether the appeal meets the substantive and procedural requirements. If the lower court considers that all requirements are satisfied, the appeal is sent to CSJN. If the lower court believes they are not, the appeal is denied. In that case litigants may ask CSJN to hear the case through a </w:t>
      </w:r>
      <w:proofErr w:type="spellStart"/>
      <w:r w:rsidRPr="003403BC">
        <w:rPr>
          <w:rFonts w:ascii="Times New Roman" w:eastAsia="Times New Roman" w:hAnsi="Times New Roman" w:cs="Times New Roman"/>
          <w:i/>
          <w:color w:val="222222"/>
          <w:sz w:val="24"/>
          <w:szCs w:val="24"/>
        </w:rPr>
        <w:t>Recurso</w:t>
      </w:r>
      <w:proofErr w:type="spellEnd"/>
      <w:r w:rsidRPr="003403BC">
        <w:rPr>
          <w:rFonts w:ascii="Times New Roman" w:eastAsia="Times New Roman" w:hAnsi="Times New Roman" w:cs="Times New Roman"/>
          <w:i/>
          <w:color w:val="222222"/>
          <w:sz w:val="24"/>
          <w:szCs w:val="24"/>
        </w:rPr>
        <w:t xml:space="preserve"> de </w:t>
      </w:r>
      <w:proofErr w:type="spellStart"/>
      <w:r w:rsidRPr="003403BC">
        <w:rPr>
          <w:rFonts w:ascii="Times New Roman" w:eastAsia="Times New Roman" w:hAnsi="Times New Roman" w:cs="Times New Roman"/>
          <w:i/>
          <w:color w:val="222222"/>
          <w:sz w:val="24"/>
          <w:szCs w:val="24"/>
        </w:rPr>
        <w:t>Queja</w:t>
      </w:r>
      <w:proofErr w:type="spellEnd"/>
      <w:r w:rsidRPr="003403BC">
        <w:rPr>
          <w:rFonts w:ascii="Times New Roman" w:eastAsia="Times New Roman" w:hAnsi="Times New Roman" w:cs="Times New Roman"/>
          <w:color w:val="222222"/>
          <w:sz w:val="24"/>
          <w:szCs w:val="24"/>
        </w:rPr>
        <w:t xml:space="preserve"> (hereinafter RHE). CSJN in this case will review whether the lower Court legitimately denied the appeal. Interestingly for our purposes, this two-fold way of reaching the Court has concrete impact on the way in which the appeal is examined. Once appeals reach CSJN, they are all received and distributed by the same office (</w:t>
      </w:r>
      <w:r w:rsidRPr="003403BC">
        <w:rPr>
          <w:rFonts w:ascii="Times New Roman" w:eastAsia="Times New Roman" w:hAnsi="Times New Roman" w:cs="Times New Roman"/>
          <w:i/>
          <w:color w:val="222222"/>
          <w:sz w:val="24"/>
          <w:szCs w:val="24"/>
        </w:rPr>
        <w:t>Mesa de Entradas</w:t>
      </w:r>
      <w:r w:rsidRPr="003403BC">
        <w:rPr>
          <w:rFonts w:ascii="Times New Roman" w:eastAsia="Times New Roman" w:hAnsi="Times New Roman" w:cs="Times New Roman"/>
          <w:color w:val="222222"/>
          <w:sz w:val="24"/>
          <w:szCs w:val="24"/>
        </w:rPr>
        <w:t>). Each appeal is distributed to the Judicial Department (hereinafter, JD) specialized in the area of the appeal. This JD will conduct a preliminary assessment on the basis of the formal requirements. The specialized JD will often keep the file for internal drafting before being circulated among the justices if the appeal arrives through RHE. When the Appeal was granted by the previous Court,</w:t>
      </w:r>
      <w:r w:rsidRPr="003403BC" w:rsidDel="001A2B07">
        <w:rPr>
          <w:rFonts w:ascii="Times New Roman" w:eastAsia="Times New Roman" w:hAnsi="Times New Roman" w:cs="Times New Roman"/>
          <w:color w:val="222222"/>
          <w:sz w:val="24"/>
          <w:szCs w:val="24"/>
        </w:rPr>
        <w:t xml:space="preserve"> </w:t>
      </w:r>
      <w:r w:rsidRPr="003403BC">
        <w:rPr>
          <w:rFonts w:ascii="Times New Roman" w:eastAsia="Times New Roman" w:hAnsi="Times New Roman" w:cs="Times New Roman"/>
          <w:color w:val="222222"/>
          <w:sz w:val="24"/>
          <w:szCs w:val="24"/>
        </w:rPr>
        <w:t>the specialized JD will usually distribute it among the justices, often starting by one with particular specialization in an area (to start circulation among them).</w:t>
      </w:r>
      <w:r w:rsidRPr="003403BC">
        <w:rPr>
          <w:rStyle w:val="EndnoteReference"/>
          <w:rFonts w:ascii="Times New Roman" w:eastAsia="Times New Roman" w:hAnsi="Times New Roman" w:cs="Times New Roman"/>
          <w:color w:val="222222"/>
          <w:sz w:val="24"/>
          <w:szCs w:val="24"/>
        </w:rPr>
        <w:endnoteReference w:id="12"/>
      </w:r>
    </w:p>
    <w:p w14:paraId="664A2406" w14:textId="27082CE5" w:rsidR="00204055" w:rsidRPr="003403BC" w:rsidRDefault="00204055" w:rsidP="00085379">
      <w:pPr>
        <w:shd w:val="clear" w:color="auto" w:fill="FFFFFF"/>
        <w:spacing w:after="0" w:line="480" w:lineRule="auto"/>
        <w:jc w:val="both"/>
        <w:rPr>
          <w:rFonts w:ascii="Times New Roman" w:hAnsi="Times New Roman" w:cs="Times New Roman"/>
          <w:color w:val="222222"/>
          <w:sz w:val="24"/>
          <w:szCs w:val="24"/>
          <w:shd w:val="clear" w:color="auto" w:fill="FFFFFF"/>
        </w:rPr>
      </w:pPr>
      <w:r w:rsidRPr="003403BC">
        <w:rPr>
          <w:rFonts w:ascii="Times New Roman" w:hAnsi="Times New Roman" w:cs="Times New Roman"/>
          <w:sz w:val="24"/>
          <w:szCs w:val="24"/>
        </w:rPr>
        <w:t xml:space="preserve">The fact that CSJN has jurisdiction over a case does not guarantee that the court will arrive to a decision on the merits of the appeal. </w:t>
      </w:r>
      <w:r w:rsidRPr="003403BC">
        <w:rPr>
          <w:rFonts w:ascii="Times New Roman" w:eastAsia="Times New Roman" w:hAnsi="Times New Roman" w:cs="Times New Roman"/>
          <w:color w:val="222222"/>
          <w:sz w:val="24"/>
          <w:szCs w:val="24"/>
        </w:rPr>
        <w:t xml:space="preserve">In 1990 Congress passed a </w:t>
      </w:r>
      <w:r w:rsidRPr="003403BC">
        <w:rPr>
          <w:rFonts w:ascii="Times New Roman" w:eastAsia="Times New Roman" w:hAnsi="Times New Roman" w:cs="Times New Roman"/>
          <w:color w:val="222222"/>
          <w:sz w:val="24"/>
          <w:szCs w:val="24"/>
        </w:rPr>
        <w:lastRenderedPageBreak/>
        <w:t>reform of the Code of Civil and Commercial Procedure, which gave the Court discretion to dispose of appeals based on a lack of relevance.</w:t>
      </w:r>
      <w:r w:rsidRPr="003403BC">
        <w:rPr>
          <w:rStyle w:val="EndnoteReference"/>
          <w:rFonts w:ascii="Times New Roman" w:eastAsia="Times New Roman" w:hAnsi="Times New Roman" w:cs="Times New Roman"/>
          <w:color w:val="222222"/>
          <w:sz w:val="24"/>
          <w:szCs w:val="24"/>
        </w:rPr>
        <w:endnoteReference w:id="13"/>
      </w:r>
      <w:r w:rsidRPr="003403BC">
        <w:rPr>
          <w:rFonts w:ascii="Times New Roman" w:hAnsi="Times New Roman" w:cs="Times New Roman"/>
          <w:sz w:val="24"/>
          <w:szCs w:val="24"/>
        </w:rPr>
        <w:t xml:space="preserve"> Since then, CSJN has routinely made use of the discretionary power to reject appeals on the grounds of insufficient </w:t>
      </w:r>
      <w:r w:rsidRPr="003403BC">
        <w:rPr>
          <w:rFonts w:ascii="Times New Roman" w:hAnsi="Times New Roman" w:cs="Times New Roman"/>
          <w:color w:val="222222"/>
          <w:sz w:val="24"/>
          <w:szCs w:val="24"/>
          <w:shd w:val="clear" w:color="auto" w:fill="FFFFFF"/>
        </w:rPr>
        <w:t xml:space="preserve">lower court error or when the matters raised are either insignificant or inconsequential. In 2007, CSJN introduced </w:t>
      </w:r>
      <w:proofErr w:type="spellStart"/>
      <w:r w:rsidRPr="003403BC">
        <w:rPr>
          <w:rFonts w:ascii="Times New Roman" w:hAnsi="Times New Roman" w:cs="Times New Roman"/>
          <w:i/>
          <w:color w:val="222222"/>
          <w:sz w:val="24"/>
          <w:szCs w:val="24"/>
          <w:shd w:val="clear" w:color="auto" w:fill="FFFFFF"/>
        </w:rPr>
        <w:t>Acordada</w:t>
      </w:r>
      <w:proofErr w:type="spellEnd"/>
      <w:r w:rsidRPr="003403BC">
        <w:rPr>
          <w:rFonts w:ascii="Times New Roman" w:hAnsi="Times New Roman" w:cs="Times New Roman"/>
          <w:color w:val="222222"/>
          <w:sz w:val="24"/>
          <w:szCs w:val="24"/>
          <w:shd w:val="clear" w:color="auto" w:fill="FFFFFF"/>
        </w:rPr>
        <w:t xml:space="preserve"> as a formal step before proceeding to analyze any extraordinary appeal. </w:t>
      </w:r>
      <w:r w:rsidR="008C37B6">
        <w:rPr>
          <w:rFonts w:ascii="Times New Roman" w:hAnsi="Times New Roman" w:cs="Times New Roman"/>
          <w:color w:val="222222"/>
          <w:sz w:val="24"/>
          <w:szCs w:val="24"/>
          <w:shd w:val="clear" w:color="auto" w:fill="FFFFFF"/>
        </w:rPr>
        <w:t xml:space="preserve">Once an extraordinary appeal is dismissed </w:t>
      </w:r>
      <w:r w:rsidR="00D0655B">
        <w:rPr>
          <w:rFonts w:ascii="Times New Roman" w:hAnsi="Times New Roman" w:cs="Times New Roman"/>
          <w:color w:val="222222"/>
          <w:sz w:val="24"/>
          <w:szCs w:val="24"/>
          <w:shd w:val="clear" w:color="auto" w:fill="FFFFFF"/>
        </w:rPr>
        <w:t xml:space="preserve">by CSJN </w:t>
      </w:r>
      <w:r w:rsidR="008C37B6">
        <w:rPr>
          <w:rFonts w:ascii="Times New Roman" w:hAnsi="Times New Roman" w:cs="Times New Roman"/>
          <w:color w:val="222222"/>
          <w:sz w:val="24"/>
          <w:szCs w:val="24"/>
          <w:shd w:val="clear" w:color="auto" w:fill="FFFFFF"/>
        </w:rPr>
        <w:t>–on any grounds- it cannot be raised again.</w:t>
      </w:r>
    </w:p>
    <w:p w14:paraId="4554DF68" w14:textId="77777777" w:rsidR="00204055" w:rsidRPr="003403BC" w:rsidRDefault="00204055" w:rsidP="00085379">
      <w:pPr>
        <w:shd w:val="clear" w:color="auto" w:fill="FFFFFF"/>
        <w:spacing w:after="0" w:line="480" w:lineRule="auto"/>
        <w:jc w:val="both"/>
        <w:rPr>
          <w:rFonts w:ascii="Times New Roman" w:hAnsi="Times New Roman" w:cs="Times New Roman"/>
          <w:color w:val="222222"/>
          <w:sz w:val="24"/>
          <w:szCs w:val="24"/>
          <w:shd w:val="clear" w:color="auto" w:fill="FFFFFF"/>
        </w:rPr>
      </w:pPr>
      <w:proofErr w:type="spellStart"/>
      <w:r w:rsidRPr="003403BC">
        <w:rPr>
          <w:rFonts w:ascii="Times New Roman" w:hAnsi="Times New Roman" w:cs="Times New Roman"/>
          <w:i/>
          <w:color w:val="222222"/>
          <w:sz w:val="24"/>
          <w:szCs w:val="24"/>
          <w:shd w:val="clear" w:color="auto" w:fill="FFFFFF"/>
        </w:rPr>
        <w:t>Acordada</w:t>
      </w:r>
      <w:proofErr w:type="spellEnd"/>
      <w:r w:rsidRPr="003403BC">
        <w:rPr>
          <w:rFonts w:ascii="Times New Roman" w:hAnsi="Times New Roman" w:cs="Times New Roman"/>
          <w:color w:val="222222"/>
          <w:sz w:val="24"/>
          <w:szCs w:val="24"/>
          <w:shd w:val="clear" w:color="auto" w:fill="FFFFFF"/>
        </w:rPr>
        <w:t xml:space="preserve"> stipulates a series of formal requirements each appeal must follow, among which we could highlight the following ones. </w:t>
      </w:r>
      <w:proofErr w:type="spellStart"/>
      <w:r w:rsidRPr="003403BC">
        <w:rPr>
          <w:rFonts w:ascii="Times New Roman" w:hAnsi="Times New Roman" w:cs="Times New Roman"/>
          <w:i/>
          <w:color w:val="222222"/>
          <w:sz w:val="24"/>
          <w:szCs w:val="24"/>
          <w:shd w:val="clear" w:color="auto" w:fill="FFFFFF"/>
        </w:rPr>
        <w:t>Acordada</w:t>
      </w:r>
      <w:proofErr w:type="spellEnd"/>
      <w:r w:rsidRPr="003403BC">
        <w:rPr>
          <w:rFonts w:ascii="Times New Roman" w:hAnsi="Times New Roman" w:cs="Times New Roman"/>
          <w:color w:val="222222"/>
          <w:sz w:val="24"/>
          <w:szCs w:val="24"/>
          <w:shd w:val="clear" w:color="auto" w:fill="FFFFFF"/>
        </w:rPr>
        <w:t xml:space="preserve"> stipulates a maximum length of 40 pages for the original appeal –REX- (art. 1), and of 10 pages for the direct appeal –RHE (art.4). Further, each page should have a maximum of 26 lines, and a minimum font of 12 (art. 1).</w:t>
      </w:r>
      <w:r w:rsidRPr="003403BC">
        <w:rPr>
          <w:rStyle w:val="EndnoteReference"/>
          <w:rFonts w:ascii="Times New Roman" w:hAnsi="Times New Roman" w:cs="Times New Roman"/>
          <w:color w:val="222222"/>
          <w:sz w:val="24"/>
          <w:szCs w:val="24"/>
          <w:shd w:val="clear" w:color="auto" w:fill="FFFFFF"/>
        </w:rPr>
        <w:endnoteReference w:id="14"/>
      </w:r>
      <w:r w:rsidRPr="003403BC">
        <w:rPr>
          <w:rFonts w:ascii="Times New Roman" w:hAnsi="Times New Roman" w:cs="Times New Roman"/>
          <w:color w:val="222222"/>
          <w:sz w:val="24"/>
          <w:szCs w:val="24"/>
          <w:shd w:val="clear" w:color="auto" w:fill="FFFFFF"/>
        </w:rPr>
        <w:t xml:space="preserve"> The appeal (both REX and RHE) should have a cover with all the relevant information (arts. 2 and 5, respectively). The submission itself should contain specific references about the court whose decision is appealed, the facts of the case, the type of harm the decision generates for the appellant, a clear refutation of “each and every independent argument” on which the attacked decision rests, and a “direct and clear relationship” between the federal norms invoked and the decision that has been reached (arts. 3 and 6, respectively). The RHE submission should be accompanied by copies of several parts of the file (art. 7). Finally, article 11 stipulates that failure to fulfill each and every requirement would be sanctioned by </w:t>
      </w:r>
      <w:r w:rsidRPr="003403BC">
        <w:rPr>
          <w:rFonts w:ascii="Times New Roman" w:hAnsi="Times New Roman" w:cs="Times New Roman"/>
          <w:color w:val="222222"/>
          <w:sz w:val="24"/>
          <w:szCs w:val="24"/>
          <w:shd w:val="clear" w:color="auto" w:fill="FFFFFF"/>
        </w:rPr>
        <w:lastRenderedPageBreak/>
        <w:t xml:space="preserve">rejection of the Appeal, unless CSJN considers that that lack of fulfillment is not an insurmountable obstacle for the admissibility of the Appeal (first para, </w:t>
      </w:r>
      <w:r w:rsidRPr="003403BC">
        <w:rPr>
          <w:rFonts w:ascii="Times New Roman" w:hAnsi="Times New Roman" w:cs="Times New Roman"/>
          <w:i/>
          <w:color w:val="222222"/>
          <w:sz w:val="24"/>
          <w:szCs w:val="24"/>
          <w:shd w:val="clear" w:color="auto" w:fill="FFFFFF"/>
        </w:rPr>
        <w:t>in fine</w:t>
      </w:r>
      <w:r w:rsidRPr="003403BC">
        <w:rPr>
          <w:rFonts w:ascii="Times New Roman" w:hAnsi="Times New Roman" w:cs="Times New Roman"/>
          <w:color w:val="222222"/>
          <w:sz w:val="24"/>
          <w:szCs w:val="24"/>
          <w:shd w:val="clear" w:color="auto" w:fill="FFFFFF"/>
        </w:rPr>
        <w:t xml:space="preserve">). Article 12 clarifies that these provisions will not apply to appeals presented </w:t>
      </w:r>
      <w:r w:rsidRPr="003403BC">
        <w:rPr>
          <w:rFonts w:ascii="Times New Roman" w:hAnsi="Times New Roman" w:cs="Times New Roman"/>
          <w:i/>
          <w:color w:val="222222"/>
          <w:sz w:val="24"/>
          <w:szCs w:val="24"/>
          <w:shd w:val="clear" w:color="auto" w:fill="FFFFFF"/>
        </w:rPr>
        <w:t xml:space="preserve">in forma </w:t>
      </w:r>
      <w:proofErr w:type="spellStart"/>
      <w:r w:rsidRPr="003403BC">
        <w:rPr>
          <w:rFonts w:ascii="Times New Roman" w:hAnsi="Times New Roman" w:cs="Times New Roman"/>
          <w:i/>
          <w:color w:val="222222"/>
          <w:sz w:val="24"/>
          <w:szCs w:val="24"/>
          <w:shd w:val="clear" w:color="auto" w:fill="FFFFFF"/>
        </w:rPr>
        <w:t>pauperis</w:t>
      </w:r>
      <w:proofErr w:type="spellEnd"/>
      <w:r w:rsidRPr="003403BC">
        <w:rPr>
          <w:rFonts w:ascii="Times New Roman" w:hAnsi="Times New Roman" w:cs="Times New Roman"/>
          <w:color w:val="222222"/>
          <w:sz w:val="24"/>
          <w:szCs w:val="24"/>
          <w:shd w:val="clear" w:color="auto" w:fill="FFFFFF"/>
        </w:rPr>
        <w:t>.</w:t>
      </w:r>
      <w:r w:rsidRPr="003403BC">
        <w:rPr>
          <w:rStyle w:val="EndnoteReference"/>
          <w:rFonts w:ascii="Times New Roman" w:hAnsi="Times New Roman" w:cs="Times New Roman"/>
          <w:color w:val="222222"/>
          <w:sz w:val="24"/>
          <w:szCs w:val="24"/>
          <w:shd w:val="clear" w:color="auto" w:fill="FFFFFF"/>
        </w:rPr>
        <w:endnoteReference w:id="15"/>
      </w:r>
      <w:r w:rsidRPr="003403BC">
        <w:rPr>
          <w:rFonts w:ascii="Times New Roman" w:hAnsi="Times New Roman" w:cs="Times New Roman"/>
          <w:color w:val="222222"/>
          <w:sz w:val="24"/>
          <w:szCs w:val="24"/>
          <w:shd w:val="clear" w:color="auto" w:fill="FFFFFF"/>
        </w:rPr>
        <w:t xml:space="preserve"> In order for CSJN to use </w:t>
      </w:r>
      <w:proofErr w:type="spellStart"/>
      <w:r w:rsidRPr="003403BC">
        <w:rPr>
          <w:rFonts w:ascii="Times New Roman" w:hAnsi="Times New Roman" w:cs="Times New Roman"/>
          <w:i/>
          <w:color w:val="222222"/>
          <w:sz w:val="24"/>
          <w:szCs w:val="24"/>
          <w:shd w:val="clear" w:color="auto" w:fill="FFFFFF"/>
        </w:rPr>
        <w:t>Acordada</w:t>
      </w:r>
      <w:proofErr w:type="spellEnd"/>
      <w:r w:rsidRPr="003403BC">
        <w:rPr>
          <w:rFonts w:ascii="Times New Roman" w:hAnsi="Times New Roman" w:cs="Times New Roman"/>
          <w:color w:val="222222"/>
          <w:sz w:val="24"/>
          <w:szCs w:val="24"/>
          <w:shd w:val="clear" w:color="auto" w:fill="FFFFFF"/>
        </w:rPr>
        <w:t xml:space="preserve"> to reject a submission, it must deliver an opinion –typically of the boilerplate type-.</w:t>
      </w:r>
      <w:r w:rsidRPr="003403BC">
        <w:rPr>
          <w:rStyle w:val="EndnoteReference"/>
          <w:rFonts w:ascii="Times New Roman" w:hAnsi="Times New Roman" w:cs="Times New Roman"/>
          <w:color w:val="222222"/>
          <w:sz w:val="24"/>
          <w:szCs w:val="24"/>
          <w:shd w:val="clear" w:color="auto" w:fill="FFFFFF"/>
        </w:rPr>
        <w:endnoteReference w:id="16"/>
      </w:r>
      <w:r w:rsidRPr="003403BC">
        <w:rPr>
          <w:rFonts w:ascii="Times New Roman" w:hAnsi="Times New Roman" w:cs="Times New Roman"/>
          <w:color w:val="222222"/>
          <w:sz w:val="24"/>
          <w:szCs w:val="24"/>
          <w:shd w:val="clear" w:color="auto" w:fill="FFFFFF"/>
        </w:rPr>
        <w:t xml:space="preserve"> In practical terms, it means that, at the time of our study, at least four justices had to vote deciding that the submission had not met the minimal standards set forth by </w:t>
      </w:r>
      <w:proofErr w:type="spellStart"/>
      <w:r w:rsidRPr="003403BC">
        <w:rPr>
          <w:rFonts w:ascii="Times New Roman" w:hAnsi="Times New Roman" w:cs="Times New Roman"/>
          <w:i/>
          <w:color w:val="222222"/>
          <w:sz w:val="24"/>
          <w:szCs w:val="24"/>
          <w:shd w:val="clear" w:color="auto" w:fill="FFFFFF"/>
        </w:rPr>
        <w:t>Acordada</w:t>
      </w:r>
      <w:proofErr w:type="spellEnd"/>
      <w:r w:rsidRPr="003403BC">
        <w:rPr>
          <w:rFonts w:ascii="Times New Roman" w:hAnsi="Times New Roman" w:cs="Times New Roman"/>
          <w:color w:val="222222"/>
          <w:sz w:val="24"/>
          <w:szCs w:val="24"/>
          <w:shd w:val="clear" w:color="auto" w:fill="FFFFFF"/>
        </w:rPr>
        <w:t>.</w:t>
      </w:r>
      <w:r w:rsidRPr="003403BC">
        <w:rPr>
          <w:rStyle w:val="EndnoteReference"/>
          <w:rFonts w:ascii="Times New Roman" w:hAnsi="Times New Roman" w:cs="Times New Roman"/>
          <w:color w:val="222222"/>
          <w:sz w:val="24"/>
          <w:szCs w:val="24"/>
          <w:shd w:val="clear" w:color="auto" w:fill="FFFFFF"/>
        </w:rPr>
        <w:endnoteReference w:id="17"/>
      </w:r>
      <w:r w:rsidRPr="003403BC">
        <w:rPr>
          <w:rFonts w:ascii="Times New Roman" w:hAnsi="Times New Roman" w:cs="Times New Roman"/>
          <w:color w:val="222222"/>
          <w:sz w:val="24"/>
          <w:szCs w:val="24"/>
          <w:shd w:val="clear" w:color="auto" w:fill="FFFFFF"/>
        </w:rPr>
        <w:t xml:space="preserve"> Notably, this procedure is exactly the same one the Supreme Court employs in order to issue opinions on the merits of cases.</w:t>
      </w:r>
      <w:r w:rsidRPr="003403BC">
        <w:rPr>
          <w:rFonts w:ascii="Times New Roman" w:hAnsi="Times New Roman" w:cs="Times New Roman"/>
          <w:i/>
          <w:color w:val="222222"/>
          <w:sz w:val="24"/>
          <w:szCs w:val="24"/>
          <w:shd w:val="clear" w:color="auto" w:fill="FFFFFF"/>
        </w:rPr>
        <w:t xml:space="preserve"> </w:t>
      </w:r>
    </w:p>
    <w:p w14:paraId="640B81D4" w14:textId="77777777" w:rsidR="00204055" w:rsidRPr="003403BC" w:rsidRDefault="00204055" w:rsidP="00085379">
      <w:pPr>
        <w:shd w:val="clear" w:color="auto" w:fill="FFFFFF"/>
        <w:spacing w:after="0" w:line="480" w:lineRule="auto"/>
        <w:jc w:val="both"/>
        <w:rPr>
          <w:rFonts w:ascii="Times New Roman" w:hAnsi="Times New Roman" w:cs="Times New Roman"/>
          <w:color w:val="222222"/>
          <w:sz w:val="24"/>
          <w:szCs w:val="24"/>
          <w:shd w:val="clear" w:color="auto" w:fill="FFFFFF"/>
        </w:rPr>
      </w:pPr>
    </w:p>
    <w:p w14:paraId="2880952F" w14:textId="77777777" w:rsidR="00204055" w:rsidRPr="003403BC" w:rsidRDefault="00204055" w:rsidP="00085379">
      <w:pPr>
        <w:autoSpaceDE w:val="0"/>
        <w:autoSpaceDN w:val="0"/>
        <w:adjustRightInd w:val="0"/>
        <w:spacing w:after="0" w:line="480" w:lineRule="auto"/>
        <w:jc w:val="both"/>
        <w:rPr>
          <w:rFonts w:ascii="Times New Roman" w:hAnsi="Times New Roman" w:cs="Times New Roman"/>
          <w:b/>
          <w:sz w:val="24"/>
          <w:szCs w:val="24"/>
        </w:rPr>
      </w:pPr>
      <w:r w:rsidRPr="003403BC">
        <w:rPr>
          <w:rFonts w:ascii="Times New Roman" w:hAnsi="Times New Roman" w:cs="Times New Roman"/>
          <w:b/>
          <w:sz w:val="24"/>
          <w:szCs w:val="24"/>
        </w:rPr>
        <w:t>III. HYPOTHES</w:t>
      </w:r>
      <w:r>
        <w:rPr>
          <w:rFonts w:ascii="Times New Roman" w:hAnsi="Times New Roman" w:cs="Times New Roman"/>
          <w:b/>
          <w:sz w:val="24"/>
          <w:szCs w:val="24"/>
        </w:rPr>
        <w:t>E</w:t>
      </w:r>
      <w:r w:rsidRPr="003403BC">
        <w:rPr>
          <w:rFonts w:ascii="Times New Roman" w:hAnsi="Times New Roman" w:cs="Times New Roman"/>
          <w:b/>
          <w:sz w:val="24"/>
          <w:szCs w:val="24"/>
        </w:rPr>
        <w:t>S</w:t>
      </w:r>
    </w:p>
    <w:p w14:paraId="67E7E684" w14:textId="77777777" w:rsidR="00204055" w:rsidRPr="003403BC" w:rsidRDefault="00204055" w:rsidP="00085379">
      <w:pPr>
        <w:autoSpaceDE w:val="0"/>
        <w:autoSpaceDN w:val="0"/>
        <w:adjustRightInd w:val="0"/>
        <w:spacing w:after="0"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As this is the first study to test case duration in CSJN we had little in the way of </w:t>
      </w:r>
      <w:r w:rsidRPr="003403BC">
        <w:rPr>
          <w:rFonts w:ascii="Times New Roman" w:hAnsi="Times New Roman" w:cs="Times New Roman"/>
          <w:i/>
          <w:sz w:val="24"/>
          <w:szCs w:val="24"/>
        </w:rPr>
        <w:t>ex ante</w:t>
      </w:r>
      <w:r w:rsidRPr="003403BC">
        <w:rPr>
          <w:rFonts w:ascii="Times New Roman" w:hAnsi="Times New Roman" w:cs="Times New Roman"/>
          <w:sz w:val="24"/>
          <w:szCs w:val="24"/>
        </w:rPr>
        <w:t xml:space="preserve"> beliefs. In addition, prior to this study the characteristics of appeals rejected on the basis of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were largely unknown. Thus, a substantial part of the results we report are descriptive to enable assessment of our principal hypotheses. In this Section we present our main hypotheses.</w:t>
      </w:r>
    </w:p>
    <w:p w14:paraId="468349DE" w14:textId="77777777" w:rsidR="00204055" w:rsidRPr="003403BC" w:rsidRDefault="00204055" w:rsidP="00085379">
      <w:pPr>
        <w:autoSpaceDE w:val="0"/>
        <w:autoSpaceDN w:val="0"/>
        <w:adjustRightInd w:val="0"/>
        <w:spacing w:after="0"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In order to develop our initial hypotheses we started by explaining the objective nature of formal errors in the appeals process under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Each type of error consists of an easily determinable violation of the rules set forth in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such as relevant number of pages, or of lines per page, or the attachment to the Appeal of specific copies of the original file. As a result, we would expect similar case </w:t>
      </w:r>
      <w:r w:rsidRPr="003403BC">
        <w:rPr>
          <w:rFonts w:ascii="Times New Roman" w:hAnsi="Times New Roman" w:cs="Times New Roman"/>
          <w:sz w:val="24"/>
          <w:szCs w:val="24"/>
        </w:rPr>
        <w:lastRenderedPageBreak/>
        <w:t xml:space="preserve">duration regardless of the specific article (or articles) of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which was found not to be complied with. </w:t>
      </w:r>
    </w:p>
    <w:p w14:paraId="35B5A36A" w14:textId="77777777" w:rsidR="00204055" w:rsidRPr="003403BC" w:rsidRDefault="00204055" w:rsidP="00085379">
      <w:pPr>
        <w:autoSpaceDE w:val="0"/>
        <w:autoSpaceDN w:val="0"/>
        <w:adjustRightInd w:val="0"/>
        <w:spacing w:after="0" w:line="480" w:lineRule="auto"/>
        <w:jc w:val="both"/>
        <w:rPr>
          <w:rFonts w:ascii="Times New Roman" w:hAnsi="Times New Roman" w:cs="Times New Roman"/>
          <w:sz w:val="24"/>
          <w:szCs w:val="24"/>
        </w:rPr>
      </w:pPr>
      <w:r w:rsidRPr="003403BC">
        <w:rPr>
          <w:rFonts w:ascii="Times New Roman" w:hAnsi="Times New Roman" w:cs="Times New Roman"/>
          <w:sz w:val="24"/>
          <w:szCs w:val="24"/>
        </w:rPr>
        <w:t>Case characteristics may also affect case duration. Appellants typically argue that the previous decision was arbitrary, that it created a federal affront,</w:t>
      </w:r>
      <w:r w:rsidRPr="003403BC">
        <w:rPr>
          <w:rStyle w:val="EndnoteReference"/>
          <w:rFonts w:ascii="Times New Roman" w:hAnsi="Times New Roman" w:cs="Times New Roman"/>
          <w:sz w:val="24"/>
          <w:szCs w:val="24"/>
        </w:rPr>
        <w:endnoteReference w:id="18"/>
      </w:r>
      <w:r w:rsidRPr="003403BC">
        <w:rPr>
          <w:rFonts w:ascii="Times New Roman" w:hAnsi="Times New Roman" w:cs="Times New Roman"/>
          <w:sz w:val="24"/>
          <w:szCs w:val="24"/>
        </w:rPr>
        <w:t xml:space="preserve"> or both.</w:t>
      </w:r>
      <w:r w:rsidRPr="003403BC">
        <w:rPr>
          <w:rStyle w:val="EndnoteReference"/>
          <w:rFonts w:ascii="Times New Roman" w:hAnsi="Times New Roman" w:cs="Times New Roman"/>
          <w:sz w:val="24"/>
          <w:szCs w:val="24"/>
        </w:rPr>
        <w:endnoteReference w:id="19"/>
      </w:r>
      <w:r w:rsidRPr="003403BC">
        <w:rPr>
          <w:rFonts w:ascii="Times New Roman" w:hAnsi="Times New Roman" w:cs="Times New Roman"/>
          <w:sz w:val="24"/>
          <w:szCs w:val="24"/>
        </w:rPr>
        <w:t xml:space="preserve"> Argentine scholars frequently contend that CSJN’s true role should not focus on error correction but on issuing opinions on federal affront cases.</w:t>
      </w:r>
      <w:r w:rsidRPr="003403BC">
        <w:rPr>
          <w:rStyle w:val="EndnoteReference"/>
          <w:rFonts w:ascii="Times New Roman" w:hAnsi="Times New Roman" w:cs="Times New Roman"/>
          <w:sz w:val="24"/>
          <w:szCs w:val="24"/>
        </w:rPr>
        <w:endnoteReference w:id="20"/>
      </w:r>
      <w:r w:rsidRPr="003403BC">
        <w:rPr>
          <w:rFonts w:ascii="Times New Roman" w:hAnsi="Times New Roman" w:cs="Times New Roman"/>
          <w:sz w:val="24"/>
          <w:szCs w:val="24"/>
        </w:rPr>
        <w:t xml:space="preserve"> Provided that this is really the case, we would expect case duration to be longer in federal affront cases as CSJN may spend a more time deciding whether to use Article 11’s exception to decide the case on its substance. </w:t>
      </w:r>
    </w:p>
    <w:p w14:paraId="144AE437" w14:textId="77777777" w:rsidR="00204055" w:rsidRPr="003403BC" w:rsidRDefault="00204055" w:rsidP="00085379">
      <w:pPr>
        <w:autoSpaceDE w:val="0"/>
        <w:autoSpaceDN w:val="0"/>
        <w:adjustRightInd w:val="0"/>
        <w:spacing w:after="0" w:line="480" w:lineRule="auto"/>
        <w:jc w:val="both"/>
        <w:rPr>
          <w:rFonts w:ascii="Times New Roman" w:hAnsi="Times New Roman" w:cs="Times New Roman"/>
          <w:sz w:val="24"/>
          <w:szCs w:val="24"/>
        </w:rPr>
      </w:pPr>
      <w:r w:rsidRPr="003403BC">
        <w:rPr>
          <w:rFonts w:ascii="Times New Roman" w:hAnsi="Times New Roman" w:cs="Times New Roman"/>
          <w:sz w:val="24"/>
          <w:szCs w:val="24"/>
        </w:rPr>
        <w:t>Thirdly, the underlying structure of CSJN may play a role too. Before Justices analyze and vote on a case, a thematic JD prepares internal memos.</w:t>
      </w:r>
      <w:r w:rsidRPr="003403BC">
        <w:rPr>
          <w:rStyle w:val="EndnoteReference"/>
          <w:rFonts w:ascii="Times New Roman" w:hAnsi="Times New Roman" w:cs="Times New Roman"/>
          <w:sz w:val="24"/>
          <w:szCs w:val="24"/>
        </w:rPr>
        <w:endnoteReference w:id="21"/>
      </w:r>
      <w:r w:rsidRPr="003403BC">
        <w:rPr>
          <w:rFonts w:ascii="Times New Roman" w:hAnsi="Times New Roman" w:cs="Times New Roman"/>
          <w:sz w:val="24"/>
          <w:szCs w:val="24"/>
        </w:rPr>
        <w:t xml:space="preserve"> If any of those JDs has a higher than average workload, we would expect that the cases they handle take more time. </w:t>
      </w:r>
    </w:p>
    <w:p w14:paraId="1821C921" w14:textId="77777777" w:rsidR="00204055" w:rsidRPr="003403BC" w:rsidRDefault="00204055" w:rsidP="00085379">
      <w:pPr>
        <w:autoSpaceDE w:val="0"/>
        <w:autoSpaceDN w:val="0"/>
        <w:adjustRightInd w:val="0"/>
        <w:spacing w:after="0" w:line="480" w:lineRule="auto"/>
        <w:jc w:val="both"/>
        <w:rPr>
          <w:rFonts w:ascii="Times New Roman" w:hAnsi="Times New Roman" w:cs="Times New Roman"/>
          <w:sz w:val="24"/>
          <w:szCs w:val="24"/>
        </w:rPr>
      </w:pPr>
      <w:r w:rsidRPr="003403BC">
        <w:rPr>
          <w:rFonts w:ascii="Times New Roman" w:hAnsi="Times New Roman" w:cs="Times New Roman"/>
          <w:sz w:val="24"/>
          <w:szCs w:val="24"/>
        </w:rPr>
        <w:t>F</w:t>
      </w:r>
      <w:r>
        <w:rPr>
          <w:rFonts w:ascii="Times New Roman" w:hAnsi="Times New Roman" w:cs="Times New Roman"/>
          <w:sz w:val="24"/>
          <w:szCs w:val="24"/>
        </w:rPr>
        <w:t>inal</w:t>
      </w:r>
      <w:r w:rsidRPr="003403BC">
        <w:rPr>
          <w:rFonts w:ascii="Times New Roman" w:hAnsi="Times New Roman" w:cs="Times New Roman"/>
          <w:sz w:val="24"/>
          <w:szCs w:val="24"/>
        </w:rPr>
        <w:t>ly, we would expect case duration to be affected by the level of agreement among Justices. CSJN Justices routinely abstain from voting once a majority is reached,</w:t>
      </w:r>
      <w:r w:rsidRPr="003403BC">
        <w:rPr>
          <w:rStyle w:val="EndnoteReference"/>
          <w:rFonts w:ascii="Times New Roman" w:hAnsi="Times New Roman" w:cs="Times New Roman"/>
          <w:sz w:val="24"/>
          <w:szCs w:val="24"/>
        </w:rPr>
        <w:endnoteReference w:id="22"/>
      </w:r>
      <w:r w:rsidRPr="003403BC">
        <w:rPr>
          <w:rFonts w:ascii="Times New Roman" w:hAnsi="Times New Roman" w:cs="Times New Roman"/>
          <w:sz w:val="24"/>
          <w:szCs w:val="24"/>
        </w:rPr>
        <w:t xml:space="preserve"> essentially concealing their attitudes towards those appeals. In some instances though, one or more Justices issue a separate opinion supporting the majority, or issues a partial or total dissent. When any of this happens we would expect the case duration to be longer because more Court time would be spent on average in drafting the opinion. </w:t>
      </w:r>
    </w:p>
    <w:p w14:paraId="632DC4D6" w14:textId="77777777" w:rsidR="00204055" w:rsidRPr="003403BC" w:rsidRDefault="00204055" w:rsidP="00085379">
      <w:pPr>
        <w:autoSpaceDE w:val="0"/>
        <w:autoSpaceDN w:val="0"/>
        <w:adjustRightInd w:val="0"/>
        <w:spacing w:after="0" w:line="480" w:lineRule="auto"/>
        <w:jc w:val="both"/>
        <w:rPr>
          <w:rFonts w:ascii="Times New Roman" w:hAnsi="Times New Roman" w:cs="Times New Roman"/>
          <w:sz w:val="24"/>
          <w:szCs w:val="24"/>
        </w:rPr>
      </w:pPr>
    </w:p>
    <w:p w14:paraId="6DE53B61" w14:textId="77777777" w:rsidR="00204055" w:rsidRPr="003403BC" w:rsidRDefault="00204055" w:rsidP="00085379">
      <w:pPr>
        <w:autoSpaceDE w:val="0"/>
        <w:autoSpaceDN w:val="0"/>
        <w:adjustRightInd w:val="0"/>
        <w:spacing w:after="0" w:line="480" w:lineRule="auto"/>
        <w:jc w:val="both"/>
        <w:rPr>
          <w:rFonts w:ascii="Times New Roman" w:hAnsi="Times New Roman" w:cs="Times New Roman"/>
          <w:b/>
          <w:sz w:val="24"/>
          <w:szCs w:val="24"/>
        </w:rPr>
      </w:pPr>
      <w:r w:rsidRPr="003403BC">
        <w:rPr>
          <w:rFonts w:ascii="Times New Roman" w:hAnsi="Times New Roman" w:cs="Times New Roman"/>
          <w:b/>
          <w:sz w:val="24"/>
          <w:szCs w:val="24"/>
        </w:rPr>
        <w:lastRenderedPageBreak/>
        <w:t>IV. DATA COLLECTION AND PROCESSING</w:t>
      </w:r>
    </w:p>
    <w:p w14:paraId="0E23D8D3" w14:textId="77777777" w:rsidR="00204055" w:rsidRPr="003403BC" w:rsidRDefault="00204055" w:rsidP="00085379">
      <w:pPr>
        <w:autoSpaceDE w:val="0"/>
        <w:autoSpaceDN w:val="0"/>
        <w:adjustRightInd w:val="0"/>
        <w:spacing w:after="0" w:line="480" w:lineRule="auto"/>
        <w:jc w:val="both"/>
        <w:rPr>
          <w:rFonts w:ascii="Times New Roman" w:hAnsi="Times New Roman" w:cs="Times New Roman"/>
          <w:b/>
          <w:bCs/>
          <w:sz w:val="24"/>
          <w:szCs w:val="24"/>
        </w:rPr>
      </w:pPr>
      <w:r w:rsidRPr="003403BC">
        <w:rPr>
          <w:rFonts w:ascii="Times New Roman" w:hAnsi="Times New Roman" w:cs="Times New Roman"/>
          <w:sz w:val="24"/>
          <w:szCs w:val="24"/>
        </w:rPr>
        <w:t xml:space="preserve">The focus of this study is on rejections of CSJN appeals’ based on formal errors. CSJN publishes online every opinion it issues, along with information on case history and other background information, including the date of CSJN appeal filing. Starting on 2012, CSJN’s Jurisprudence office has categorized every opinion according to different criteria and it also introduced a search engine which allows looking for opinions meeting any of the pre-determined criteria. One such criterion is the outcome of the opinion. We used the search engine to find every opinion that the CSJN made based on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during 2012, excluding pension cases.</w:t>
      </w:r>
      <w:r w:rsidRPr="003403BC">
        <w:rPr>
          <w:rStyle w:val="EndnoteReference"/>
          <w:rFonts w:ascii="Times New Roman" w:hAnsi="Times New Roman" w:cs="Times New Roman"/>
          <w:sz w:val="24"/>
          <w:szCs w:val="24"/>
        </w:rPr>
        <w:endnoteReference w:id="23"/>
      </w:r>
      <w:r w:rsidRPr="003403BC">
        <w:rPr>
          <w:rFonts w:ascii="Times New Roman" w:hAnsi="Times New Roman" w:cs="Times New Roman"/>
          <w:sz w:val="24"/>
          <w:szCs w:val="24"/>
        </w:rPr>
        <w:t xml:space="preserve"> That search generated 1,162 opinions. Lack of sufficient information made us discard 22 observations, leaving a working database of 1,140 opinions.</w:t>
      </w:r>
      <w:r w:rsidRPr="003403BC">
        <w:rPr>
          <w:rStyle w:val="EndnoteReference"/>
          <w:rFonts w:ascii="Times New Roman" w:hAnsi="Times New Roman" w:cs="Times New Roman"/>
          <w:sz w:val="24"/>
          <w:szCs w:val="24"/>
        </w:rPr>
        <w:endnoteReference w:id="24"/>
      </w:r>
      <w:r w:rsidRPr="003403BC">
        <w:rPr>
          <w:rFonts w:ascii="Times New Roman" w:hAnsi="Times New Roman" w:cs="Times New Roman"/>
          <w:b/>
          <w:bCs/>
          <w:sz w:val="24"/>
          <w:szCs w:val="24"/>
        </w:rPr>
        <w:t xml:space="preserve"> </w:t>
      </w:r>
    </w:p>
    <w:p w14:paraId="1041CF60" w14:textId="77777777" w:rsidR="00204055" w:rsidRPr="003403BC" w:rsidRDefault="00204055" w:rsidP="00085379">
      <w:pPr>
        <w:spacing w:after="0"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The census data provides a sound basis for assessing case duration and party capability theory. Further, the opinions we look at are significant. CSJN reports that it decided </w:t>
      </w:r>
      <w:r w:rsidRPr="003403BC">
        <w:rPr>
          <w:rFonts w:ascii="Times New Roman" w:eastAsia="Times New Roman" w:hAnsi="Times New Roman" w:cs="Times New Roman"/>
          <w:color w:val="000000"/>
          <w:sz w:val="24"/>
          <w:szCs w:val="24"/>
          <w:lang w:eastAsia="es-AR"/>
        </w:rPr>
        <w:t>8,812</w:t>
      </w:r>
      <w:r w:rsidRPr="003403BC">
        <w:rPr>
          <w:rFonts w:ascii="Times New Roman" w:hAnsi="Times New Roman" w:cs="Times New Roman"/>
          <w:sz w:val="24"/>
          <w:szCs w:val="24"/>
        </w:rPr>
        <w:t xml:space="preserve"> cases during 2012 (excluding pension decisions). Therefore, the opinions we looked at represent a staggering 13 percent of the total number of cases produced by the CSJN in that period.</w:t>
      </w:r>
      <w:r w:rsidRPr="003403BC">
        <w:rPr>
          <w:rStyle w:val="EndnoteReference"/>
          <w:rFonts w:ascii="Times New Roman" w:hAnsi="Times New Roman" w:cs="Times New Roman"/>
          <w:sz w:val="24"/>
          <w:szCs w:val="24"/>
        </w:rPr>
        <w:endnoteReference w:id="25"/>
      </w:r>
      <w:r w:rsidRPr="003403BC">
        <w:rPr>
          <w:rFonts w:ascii="Times New Roman" w:hAnsi="Times New Roman" w:cs="Times New Roman"/>
          <w:sz w:val="24"/>
          <w:szCs w:val="24"/>
        </w:rPr>
        <w:t xml:space="preserve"> The practical importance of these opinions to every participant in the CSJN appeals process is evident.</w:t>
      </w:r>
      <w:r w:rsidRPr="003403BC">
        <w:rPr>
          <w:rStyle w:val="EndnoteReference"/>
          <w:rFonts w:ascii="Times New Roman" w:hAnsi="Times New Roman" w:cs="Times New Roman"/>
          <w:sz w:val="24"/>
          <w:szCs w:val="24"/>
        </w:rPr>
        <w:endnoteReference w:id="26"/>
      </w:r>
    </w:p>
    <w:p w14:paraId="47BD5C9B" w14:textId="77777777" w:rsidR="00204055" w:rsidRPr="003403BC" w:rsidRDefault="00204055" w:rsidP="00085379">
      <w:pPr>
        <w:autoSpaceDE w:val="0"/>
        <w:autoSpaceDN w:val="0"/>
        <w:adjustRightInd w:val="0"/>
        <w:spacing w:after="0"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The cases identified </w:t>
      </w:r>
      <w:r w:rsidRPr="003403BC">
        <w:rPr>
          <w:rFonts w:ascii="Times New Roman" w:hAnsi="Times New Roman" w:cs="Times New Roman"/>
          <w:bCs/>
          <w:sz w:val="24"/>
          <w:szCs w:val="24"/>
        </w:rPr>
        <w:t xml:space="preserve">by </w:t>
      </w:r>
      <w:r w:rsidRPr="003403BC">
        <w:rPr>
          <w:rFonts w:ascii="Times New Roman" w:hAnsi="Times New Roman" w:cs="Times New Roman"/>
          <w:sz w:val="24"/>
          <w:szCs w:val="24"/>
        </w:rPr>
        <w:t xml:space="preserve">the methods described above were coded </w:t>
      </w:r>
      <w:r w:rsidRPr="003403BC">
        <w:rPr>
          <w:rFonts w:ascii="Times New Roman" w:hAnsi="Times New Roman" w:cs="Times New Roman"/>
          <w:bCs/>
          <w:sz w:val="24"/>
          <w:szCs w:val="24"/>
        </w:rPr>
        <w:t xml:space="preserve">by </w:t>
      </w:r>
      <w:r w:rsidRPr="003403BC">
        <w:rPr>
          <w:rFonts w:ascii="Times New Roman" w:hAnsi="Times New Roman" w:cs="Times New Roman"/>
          <w:sz w:val="24"/>
          <w:szCs w:val="24"/>
        </w:rPr>
        <w:t xml:space="preserve">student research assistants. Prior to the student coding, the authors developed a template to structure the coding and a coding protocol. After review of the performance of </w:t>
      </w:r>
      <w:r w:rsidRPr="003403BC">
        <w:rPr>
          <w:rFonts w:ascii="Times New Roman" w:hAnsi="Times New Roman" w:cs="Times New Roman"/>
          <w:sz w:val="24"/>
          <w:szCs w:val="24"/>
        </w:rPr>
        <w:lastRenderedPageBreak/>
        <w:t>the form, the protocol and the students in an initial set of cases, the form and the protocol were revised. The students used that revised form and protocol to code the cases, under the supervision of the authors.</w:t>
      </w:r>
    </w:p>
    <w:p w14:paraId="46969221" w14:textId="77777777" w:rsidR="00204055" w:rsidRPr="003403BC" w:rsidRDefault="00204055" w:rsidP="00085379">
      <w:pPr>
        <w:spacing w:after="0"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To further understand CSJN work on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i/>
          <w:sz w:val="24"/>
          <w:szCs w:val="24"/>
        </w:rPr>
        <w:t>,</w:t>
      </w:r>
      <w:r w:rsidRPr="003403BC">
        <w:rPr>
          <w:rFonts w:ascii="Times New Roman" w:hAnsi="Times New Roman" w:cs="Times New Roman"/>
          <w:sz w:val="24"/>
          <w:szCs w:val="24"/>
        </w:rPr>
        <w:t xml:space="preserve"> we conducted a series of interviews with key participants of the appeal’s process. After developing an open ended questionnaire, we proceeded to interview practicing lawyers with regular experience filing CSJN appeals. We interviewed Appeal Courts Judges and Appeal Courts Officials who routinely handle CSJN appeals. In addition, we interviewed CSJN Officials in charge of dealing with appeals and preparing internal documents. Finally, we interviewed officials from the relevant public offices in charge of litigation before CSJN, </w:t>
      </w:r>
      <w:proofErr w:type="spellStart"/>
      <w:r w:rsidRPr="003403BC">
        <w:rPr>
          <w:rFonts w:ascii="Times New Roman" w:hAnsi="Times New Roman" w:cs="Times New Roman"/>
          <w:sz w:val="24"/>
          <w:szCs w:val="24"/>
        </w:rPr>
        <w:t>ie</w:t>
      </w:r>
      <w:proofErr w:type="spellEnd"/>
      <w:r w:rsidRPr="003403BC">
        <w:rPr>
          <w:rFonts w:ascii="Times New Roman" w:hAnsi="Times New Roman" w:cs="Times New Roman"/>
          <w:sz w:val="24"/>
          <w:szCs w:val="24"/>
        </w:rPr>
        <w:t xml:space="preserve">, the </w:t>
      </w:r>
      <w:proofErr w:type="spellStart"/>
      <w:r w:rsidRPr="003403BC">
        <w:rPr>
          <w:rFonts w:ascii="Times New Roman" w:hAnsi="Times New Roman" w:cs="Times New Roman"/>
          <w:i/>
          <w:sz w:val="24"/>
          <w:szCs w:val="24"/>
        </w:rPr>
        <w:t>Procuración</w:t>
      </w:r>
      <w:proofErr w:type="spellEnd"/>
      <w:r w:rsidRPr="003403BC">
        <w:rPr>
          <w:rFonts w:ascii="Times New Roman" w:hAnsi="Times New Roman" w:cs="Times New Roman"/>
          <w:i/>
          <w:sz w:val="24"/>
          <w:szCs w:val="24"/>
        </w:rPr>
        <w:t xml:space="preserve"> General de la </w:t>
      </w:r>
      <w:proofErr w:type="spellStart"/>
      <w:r w:rsidRPr="003403BC">
        <w:rPr>
          <w:rFonts w:ascii="Times New Roman" w:hAnsi="Times New Roman" w:cs="Times New Roman"/>
          <w:i/>
          <w:sz w:val="24"/>
          <w:szCs w:val="24"/>
        </w:rPr>
        <w:t>Nacion</w:t>
      </w:r>
      <w:proofErr w:type="spellEnd"/>
      <w:r w:rsidRPr="003403BC">
        <w:rPr>
          <w:rFonts w:ascii="Times New Roman" w:hAnsi="Times New Roman" w:cs="Times New Roman"/>
          <w:sz w:val="24"/>
          <w:szCs w:val="24"/>
        </w:rPr>
        <w:t xml:space="preserve">, the </w:t>
      </w:r>
      <w:proofErr w:type="spellStart"/>
      <w:r w:rsidRPr="003403BC">
        <w:rPr>
          <w:rFonts w:ascii="Times New Roman" w:hAnsi="Times New Roman" w:cs="Times New Roman"/>
          <w:i/>
          <w:sz w:val="24"/>
          <w:szCs w:val="24"/>
        </w:rPr>
        <w:t>Defensoría</w:t>
      </w:r>
      <w:proofErr w:type="spellEnd"/>
      <w:r w:rsidRPr="003403BC">
        <w:rPr>
          <w:rFonts w:ascii="Times New Roman" w:hAnsi="Times New Roman" w:cs="Times New Roman"/>
          <w:i/>
          <w:sz w:val="24"/>
          <w:szCs w:val="24"/>
        </w:rPr>
        <w:t xml:space="preserve"> General de la </w:t>
      </w:r>
      <w:proofErr w:type="spellStart"/>
      <w:r w:rsidRPr="003403BC">
        <w:rPr>
          <w:rFonts w:ascii="Times New Roman" w:hAnsi="Times New Roman" w:cs="Times New Roman"/>
          <w:i/>
          <w:sz w:val="24"/>
          <w:szCs w:val="24"/>
        </w:rPr>
        <w:t>Nación</w:t>
      </w:r>
      <w:proofErr w:type="spellEnd"/>
      <w:r w:rsidRPr="003403BC">
        <w:rPr>
          <w:rFonts w:ascii="Times New Roman" w:hAnsi="Times New Roman" w:cs="Times New Roman"/>
          <w:sz w:val="24"/>
          <w:szCs w:val="24"/>
        </w:rPr>
        <w:t xml:space="preserve">, as well as the </w:t>
      </w:r>
      <w:proofErr w:type="spellStart"/>
      <w:r w:rsidRPr="003403BC">
        <w:rPr>
          <w:rFonts w:ascii="Times New Roman" w:hAnsi="Times New Roman" w:cs="Times New Roman"/>
          <w:i/>
          <w:sz w:val="24"/>
          <w:szCs w:val="24"/>
        </w:rPr>
        <w:t>Procuración</w:t>
      </w:r>
      <w:proofErr w:type="spellEnd"/>
      <w:r w:rsidRPr="003403BC">
        <w:rPr>
          <w:rFonts w:ascii="Times New Roman" w:hAnsi="Times New Roman" w:cs="Times New Roman"/>
          <w:i/>
          <w:sz w:val="24"/>
          <w:szCs w:val="24"/>
        </w:rPr>
        <w:t xml:space="preserve"> General del Tesoro de la </w:t>
      </w:r>
      <w:proofErr w:type="spellStart"/>
      <w:r w:rsidRPr="003403BC">
        <w:rPr>
          <w:rFonts w:ascii="Times New Roman" w:hAnsi="Times New Roman" w:cs="Times New Roman"/>
          <w:i/>
          <w:sz w:val="24"/>
          <w:szCs w:val="24"/>
        </w:rPr>
        <w:t>Nación</w:t>
      </w:r>
      <w:proofErr w:type="spellEnd"/>
      <w:r w:rsidRPr="003403BC">
        <w:rPr>
          <w:rFonts w:ascii="Times New Roman" w:hAnsi="Times New Roman" w:cs="Times New Roman"/>
          <w:sz w:val="24"/>
          <w:szCs w:val="24"/>
        </w:rPr>
        <w:t>. After obtaining the first statistical results, we conducted a second round of interviews to better understand them. The answers obtained informed both our hypothesis design and the discussion section of this paper. A full list of interviewees who authorized us to reveal their names can be found in the Annex to this paper. To ensure greater disclosure, no proposition is explicitly attributed to any of them.</w:t>
      </w:r>
    </w:p>
    <w:p w14:paraId="1970E471" w14:textId="77777777" w:rsidR="00204055" w:rsidRPr="003403BC" w:rsidRDefault="00204055" w:rsidP="00085379">
      <w:pPr>
        <w:spacing w:after="0" w:line="480" w:lineRule="auto"/>
        <w:jc w:val="both"/>
        <w:rPr>
          <w:rFonts w:ascii="Times New Roman" w:hAnsi="Times New Roman" w:cs="Times New Roman"/>
          <w:sz w:val="24"/>
          <w:szCs w:val="24"/>
        </w:rPr>
      </w:pPr>
    </w:p>
    <w:p w14:paraId="1AF87E79" w14:textId="77777777" w:rsidR="00204055" w:rsidRPr="003403BC" w:rsidRDefault="00204055" w:rsidP="00085379">
      <w:pPr>
        <w:autoSpaceDE w:val="0"/>
        <w:autoSpaceDN w:val="0"/>
        <w:adjustRightInd w:val="0"/>
        <w:spacing w:after="0" w:line="480" w:lineRule="auto"/>
        <w:rPr>
          <w:rFonts w:ascii="Times New Roman" w:hAnsi="Times New Roman" w:cs="Times New Roman"/>
          <w:b/>
          <w:sz w:val="24"/>
          <w:szCs w:val="24"/>
        </w:rPr>
      </w:pPr>
      <w:r w:rsidRPr="003403BC">
        <w:rPr>
          <w:rFonts w:ascii="Times New Roman" w:hAnsi="Times New Roman" w:cs="Times New Roman"/>
          <w:b/>
          <w:sz w:val="24"/>
          <w:szCs w:val="24"/>
        </w:rPr>
        <w:t xml:space="preserve">V. DESCRIPTIVE STATISTICS </w:t>
      </w:r>
    </w:p>
    <w:p w14:paraId="4A189D02" w14:textId="7ED24187" w:rsidR="00204055" w:rsidRPr="003403BC" w:rsidRDefault="00204055" w:rsidP="00085379">
      <w:pPr>
        <w:autoSpaceDE w:val="0"/>
        <w:autoSpaceDN w:val="0"/>
        <w:adjustRightInd w:val="0"/>
        <w:spacing w:after="0" w:line="480" w:lineRule="auto"/>
        <w:jc w:val="both"/>
        <w:rPr>
          <w:rFonts w:ascii="Times New Roman" w:hAnsi="Times New Roman" w:cs="Times New Roman"/>
          <w:sz w:val="24"/>
          <w:szCs w:val="24"/>
        </w:rPr>
      </w:pPr>
      <w:r w:rsidRPr="003403BC">
        <w:rPr>
          <w:rFonts w:ascii="Times New Roman" w:hAnsi="Times New Roman" w:cs="Times New Roman"/>
          <w:sz w:val="24"/>
          <w:szCs w:val="24"/>
        </w:rPr>
        <w:lastRenderedPageBreak/>
        <w:t xml:space="preserve">During 2012 CSJN decided </w:t>
      </w:r>
      <w:r w:rsidR="00554406">
        <w:rPr>
          <w:rFonts w:ascii="Times New Roman" w:hAnsi="Times New Roman" w:cs="Times New Roman"/>
          <w:sz w:val="24"/>
          <w:szCs w:val="24"/>
        </w:rPr>
        <w:t>handed</w:t>
      </w:r>
      <w:r w:rsidR="00554406" w:rsidRPr="003403BC">
        <w:rPr>
          <w:rFonts w:ascii="Times New Roman" w:hAnsi="Times New Roman" w:cs="Times New Roman"/>
          <w:sz w:val="24"/>
          <w:szCs w:val="24"/>
        </w:rPr>
        <w:t xml:space="preserve"> </w:t>
      </w:r>
      <w:r w:rsidRPr="003403BC">
        <w:rPr>
          <w:rFonts w:ascii="Times New Roman" w:hAnsi="Times New Roman" w:cs="Times New Roman"/>
          <w:sz w:val="24"/>
          <w:szCs w:val="24"/>
        </w:rPr>
        <w:t>a total of 8,812 cases</w:t>
      </w:r>
      <w:r w:rsidR="00791B70">
        <w:rPr>
          <w:rFonts w:ascii="Times New Roman" w:hAnsi="Times New Roman" w:cs="Times New Roman"/>
          <w:sz w:val="24"/>
          <w:szCs w:val="24"/>
        </w:rPr>
        <w:t xml:space="preserve"> </w:t>
      </w:r>
      <w:r w:rsidR="00554406">
        <w:rPr>
          <w:rFonts w:ascii="Times New Roman" w:hAnsi="Times New Roman" w:cs="Times New Roman"/>
          <w:sz w:val="24"/>
          <w:szCs w:val="24"/>
        </w:rPr>
        <w:t>decisions</w:t>
      </w:r>
      <w:r w:rsidR="003E73C4">
        <w:rPr>
          <w:rFonts w:ascii="Times New Roman" w:hAnsi="Times New Roman" w:cs="Times New Roman"/>
          <w:sz w:val="24"/>
          <w:szCs w:val="24"/>
        </w:rPr>
        <w:t xml:space="preserve"> on its discretionary jurisdiction</w:t>
      </w:r>
      <w:r w:rsidR="008C37B6">
        <w:rPr>
          <w:rFonts w:ascii="Times New Roman" w:hAnsi="Times New Roman" w:cs="Times New Roman"/>
          <w:sz w:val="24"/>
          <w:szCs w:val="24"/>
        </w:rPr>
        <w:t>, excluding pension cases</w:t>
      </w:r>
      <w:r w:rsidRPr="003403BC">
        <w:rPr>
          <w:rFonts w:ascii="Times New Roman" w:hAnsi="Times New Roman" w:cs="Times New Roman"/>
          <w:sz w:val="24"/>
          <w:szCs w:val="24"/>
        </w:rPr>
        <w:t>.</w:t>
      </w:r>
      <w:r w:rsidRPr="003403BC">
        <w:rPr>
          <w:rStyle w:val="EndnoteReference"/>
          <w:rFonts w:ascii="Times New Roman" w:hAnsi="Times New Roman" w:cs="Times New Roman"/>
          <w:sz w:val="24"/>
          <w:szCs w:val="24"/>
        </w:rPr>
        <w:endnoteReference w:id="27"/>
      </w:r>
      <w:r w:rsidR="008C37B6">
        <w:rPr>
          <w:rFonts w:ascii="Times New Roman" w:hAnsi="Times New Roman" w:cs="Times New Roman"/>
          <w:sz w:val="24"/>
          <w:szCs w:val="24"/>
        </w:rPr>
        <w:t xml:space="preserve"> Those cases where handled through 5024 decisions.</w:t>
      </w:r>
      <w:r w:rsidR="008C37B6">
        <w:rPr>
          <w:rStyle w:val="EndnoteReference"/>
          <w:rFonts w:ascii="Times New Roman" w:hAnsi="Times New Roman" w:cs="Times New Roman"/>
          <w:sz w:val="24"/>
          <w:szCs w:val="24"/>
        </w:rPr>
        <w:endnoteReference w:id="28"/>
      </w:r>
      <w:r w:rsidRPr="003403BC">
        <w:rPr>
          <w:rFonts w:ascii="Times New Roman" w:hAnsi="Times New Roman" w:cs="Times New Roman"/>
          <w:sz w:val="24"/>
          <w:szCs w:val="24"/>
        </w:rPr>
        <w:t xml:space="preserve"> Similar to other High Courts, most of the decisions came in the form of appeals’ dismissals. Among those dismissals, five main categories comprise almost the entire population (9</w:t>
      </w:r>
      <w:r w:rsidR="00657730">
        <w:rPr>
          <w:rFonts w:ascii="Times New Roman" w:hAnsi="Times New Roman" w:cs="Times New Roman"/>
          <w:sz w:val="24"/>
          <w:szCs w:val="24"/>
        </w:rPr>
        <w:t>6</w:t>
      </w:r>
      <w:r>
        <w:rPr>
          <w:rFonts w:ascii="Times New Roman" w:hAnsi="Times New Roman" w:cs="Times New Roman"/>
          <w:sz w:val="24"/>
          <w:szCs w:val="24"/>
        </w:rPr>
        <w:t xml:space="preserve"> percent</w:t>
      </w:r>
      <w:r w:rsidRPr="003403BC">
        <w:rPr>
          <w:rFonts w:ascii="Times New Roman" w:hAnsi="Times New Roman" w:cs="Times New Roman"/>
          <w:sz w:val="24"/>
          <w:szCs w:val="24"/>
        </w:rPr>
        <w:t>). The largest category</w:t>
      </w:r>
      <w:r w:rsidR="003E73C4">
        <w:rPr>
          <w:rFonts w:ascii="Times New Roman" w:hAnsi="Times New Roman" w:cs="Times New Roman"/>
          <w:sz w:val="24"/>
          <w:szCs w:val="24"/>
        </w:rPr>
        <w:t xml:space="preserve"> of appeal dismissal</w:t>
      </w:r>
      <w:r w:rsidRPr="003403BC">
        <w:rPr>
          <w:rFonts w:ascii="Times New Roman" w:hAnsi="Times New Roman" w:cs="Times New Roman"/>
          <w:sz w:val="24"/>
          <w:szCs w:val="24"/>
        </w:rPr>
        <w:t xml:space="preserve"> is the Argentine equivalent to certiorari denied (49</w:t>
      </w:r>
      <w:r>
        <w:rPr>
          <w:rFonts w:ascii="Times New Roman" w:hAnsi="Times New Roman" w:cs="Times New Roman"/>
          <w:sz w:val="24"/>
          <w:szCs w:val="24"/>
        </w:rPr>
        <w:t xml:space="preserve"> percent</w:t>
      </w:r>
      <w:r w:rsidRPr="003403BC">
        <w:rPr>
          <w:rFonts w:ascii="Times New Roman" w:hAnsi="Times New Roman" w:cs="Times New Roman"/>
          <w:sz w:val="24"/>
          <w:szCs w:val="24"/>
        </w:rPr>
        <w:t xml:space="preserve">, hereinafter </w:t>
      </w:r>
      <w:r w:rsidRPr="003403BC">
        <w:rPr>
          <w:rFonts w:ascii="Times New Roman" w:hAnsi="Times New Roman" w:cs="Times New Roman"/>
          <w:i/>
          <w:sz w:val="24"/>
          <w:szCs w:val="24"/>
        </w:rPr>
        <w:t>Article 280</w:t>
      </w:r>
      <w:r w:rsidRPr="003403BC">
        <w:rPr>
          <w:rFonts w:ascii="Times New Roman" w:hAnsi="Times New Roman" w:cs="Times New Roman"/>
          <w:sz w:val="24"/>
          <w:szCs w:val="24"/>
        </w:rPr>
        <w:t xml:space="preserve">), followed by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dismissals (2</w:t>
      </w:r>
      <w:r w:rsidR="00657730">
        <w:rPr>
          <w:rFonts w:ascii="Times New Roman" w:hAnsi="Times New Roman" w:cs="Times New Roman"/>
          <w:sz w:val="24"/>
          <w:szCs w:val="24"/>
        </w:rPr>
        <w:t>8</w:t>
      </w:r>
      <w:r>
        <w:rPr>
          <w:rFonts w:ascii="Times New Roman" w:hAnsi="Times New Roman" w:cs="Times New Roman"/>
          <w:sz w:val="24"/>
          <w:szCs w:val="24"/>
        </w:rPr>
        <w:t xml:space="preserve"> percent</w:t>
      </w:r>
      <w:r w:rsidRPr="003403BC">
        <w:rPr>
          <w:rFonts w:ascii="Times New Roman" w:hAnsi="Times New Roman" w:cs="Times New Roman"/>
          <w:sz w:val="24"/>
          <w:szCs w:val="24"/>
        </w:rPr>
        <w:t>) and dismissals based on lack of autonomous argumentation (10</w:t>
      </w:r>
      <w:r>
        <w:rPr>
          <w:rFonts w:ascii="Times New Roman" w:hAnsi="Times New Roman" w:cs="Times New Roman"/>
          <w:sz w:val="24"/>
          <w:szCs w:val="24"/>
        </w:rPr>
        <w:t xml:space="preserve"> percent</w:t>
      </w:r>
      <w:r w:rsidRPr="003403BC">
        <w:rPr>
          <w:rFonts w:ascii="Times New Roman" w:hAnsi="Times New Roman" w:cs="Times New Roman"/>
          <w:sz w:val="24"/>
          <w:szCs w:val="24"/>
        </w:rPr>
        <w:t>).</w:t>
      </w:r>
      <w:r w:rsidRPr="003403BC">
        <w:rPr>
          <w:rStyle w:val="EndnoteReference"/>
          <w:rFonts w:ascii="Times New Roman" w:hAnsi="Times New Roman" w:cs="Times New Roman"/>
          <w:sz w:val="24"/>
          <w:szCs w:val="24"/>
        </w:rPr>
        <w:endnoteReference w:id="29"/>
      </w:r>
      <w:r w:rsidRPr="003403BC">
        <w:rPr>
          <w:rFonts w:ascii="Times New Roman" w:hAnsi="Times New Roman" w:cs="Times New Roman"/>
          <w:sz w:val="24"/>
          <w:szCs w:val="24"/>
        </w:rPr>
        <w:t xml:space="preserve"> Furthermore,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decisions are also the second largest category of CSJN opinions. As a result,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case duration would have a direct impact on CSJN activity. </w:t>
      </w:r>
    </w:p>
    <w:p w14:paraId="2D4C2048" w14:textId="77777777" w:rsidR="00204055" w:rsidRPr="00305F22" w:rsidRDefault="00204055" w:rsidP="00085379">
      <w:pPr>
        <w:autoSpaceDE w:val="0"/>
        <w:autoSpaceDN w:val="0"/>
        <w:adjustRightInd w:val="0"/>
        <w:spacing w:after="0" w:line="480" w:lineRule="auto"/>
        <w:jc w:val="both"/>
        <w:rPr>
          <w:rFonts w:ascii="Times New Roman" w:hAnsi="Times New Roman" w:cs="Times New Roman"/>
          <w:b/>
          <w:sz w:val="24"/>
          <w:szCs w:val="24"/>
        </w:rPr>
      </w:pPr>
      <w:r w:rsidRPr="003403BC">
        <w:rPr>
          <w:rFonts w:ascii="Times New Roman" w:hAnsi="Times New Roman" w:cs="Times New Roman"/>
          <w:sz w:val="24"/>
          <w:szCs w:val="24"/>
        </w:rPr>
        <w:t>To capture case duration, we coded both the date of CSJN appeal filing and the opinion date. As these are somewhat mechanical cases, we expected the CSJN to resolve them in a rapid manner. T</w:t>
      </w:r>
      <w:r w:rsidRPr="003403BC">
        <w:rPr>
          <w:rFonts w:ascii="Times New Roman" w:hAnsi="Times New Roman" w:cs="Times New Roman"/>
          <w:noProof/>
          <w:sz w:val="24"/>
          <w:szCs w:val="24"/>
        </w:rPr>
        <w:t>he results, however, show the process to be fairly time consuming. The average case duration is just shy of a year (318 days, with a median of 299 days), while in the most delayed instances time to decision hovers over 3 years.</w:t>
      </w:r>
      <w:r w:rsidRPr="003403BC">
        <w:rPr>
          <w:rFonts w:ascii="Times New Roman" w:hAnsi="Times New Roman" w:cs="Times New Roman"/>
          <w:sz w:val="24"/>
          <w:szCs w:val="24"/>
        </w:rPr>
        <w:t xml:space="preserve"> </w:t>
      </w:r>
    </w:p>
    <w:p w14:paraId="5C7F39BB" w14:textId="77777777" w:rsidR="00204055" w:rsidRDefault="00204055" w:rsidP="00085379">
      <w:pPr>
        <w:autoSpaceDE w:val="0"/>
        <w:autoSpaceDN w:val="0"/>
        <w:adjustRightInd w:val="0"/>
        <w:spacing w:after="0" w:line="480" w:lineRule="auto"/>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204055" w:rsidRPr="003403BC" w14:paraId="1D868812" w14:textId="77777777" w:rsidTr="00D16397">
        <w:trPr>
          <w:trHeight w:val="141"/>
        </w:trPr>
        <w:tc>
          <w:tcPr>
            <w:tcW w:w="8136" w:type="dxa"/>
          </w:tcPr>
          <w:p w14:paraId="17D69107" w14:textId="77777777" w:rsidR="00204055" w:rsidRPr="00623015" w:rsidRDefault="00204055" w:rsidP="000D1E0B">
            <w:pPr>
              <w:spacing w:line="480" w:lineRule="auto"/>
              <w:rPr>
                <w:rFonts w:ascii="Times New Roman" w:hAnsi="Times New Roman" w:cs="Times New Roman"/>
                <w:b/>
                <w:noProof/>
                <w:sz w:val="20"/>
                <w:szCs w:val="20"/>
              </w:rPr>
            </w:pPr>
            <w:r w:rsidRPr="00623015">
              <w:rPr>
                <w:rFonts w:ascii="Times New Roman" w:hAnsi="Times New Roman" w:cs="Times New Roman"/>
                <w:b/>
                <w:noProof/>
                <w:sz w:val="20"/>
                <w:szCs w:val="20"/>
              </w:rPr>
              <w:t>Figure 1: Distribution of case duration under Acordada</w:t>
            </w:r>
          </w:p>
        </w:tc>
      </w:tr>
      <w:tr w:rsidR="00204055" w:rsidRPr="003403BC" w14:paraId="33E32954" w14:textId="77777777" w:rsidTr="00D16397">
        <w:trPr>
          <w:trHeight w:val="5820"/>
        </w:trPr>
        <w:tc>
          <w:tcPr>
            <w:tcW w:w="8136" w:type="dxa"/>
          </w:tcPr>
          <w:p w14:paraId="4D1EDBCD" w14:textId="77777777" w:rsidR="00204055" w:rsidRPr="003403BC" w:rsidRDefault="00204055" w:rsidP="000D1E0B">
            <w:pPr>
              <w:spacing w:line="480" w:lineRule="auto"/>
              <w:rPr>
                <w:rFonts w:ascii="Times New Roman" w:hAnsi="Times New Roman" w:cs="Times New Roman"/>
                <w:noProof/>
                <w:sz w:val="24"/>
                <w:szCs w:val="24"/>
              </w:rPr>
            </w:pPr>
            <w:r w:rsidRPr="003403BC">
              <w:rPr>
                <w:rFonts w:ascii="Times New Roman" w:hAnsi="Times New Roman" w:cs="Times New Roman"/>
                <w:noProof/>
                <w:sz w:val="24"/>
                <w:szCs w:val="24"/>
                <w:lang w:val="es-AR" w:eastAsia="es-AR"/>
              </w:rPr>
              <w:lastRenderedPageBreak/>
              <w:drawing>
                <wp:inline distT="0" distB="0" distL="0" distR="0" wp14:anchorId="236C7F83" wp14:editId="14648269">
                  <wp:extent cx="4381500" cy="3206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4392" cy="3208834"/>
                          </a:xfrm>
                          <a:prstGeom prst="rect">
                            <a:avLst/>
                          </a:prstGeom>
                          <a:noFill/>
                          <a:ln>
                            <a:noFill/>
                          </a:ln>
                        </pic:spPr>
                      </pic:pic>
                    </a:graphicData>
                  </a:graphic>
                </wp:inline>
              </w:drawing>
            </w:r>
          </w:p>
        </w:tc>
      </w:tr>
    </w:tbl>
    <w:p w14:paraId="2CB55DE6" w14:textId="77777777" w:rsidR="00204055" w:rsidRPr="00305F22" w:rsidRDefault="00204055" w:rsidP="003403BC">
      <w:pPr>
        <w:autoSpaceDE w:val="0"/>
        <w:autoSpaceDN w:val="0"/>
        <w:adjustRightInd w:val="0"/>
        <w:spacing w:after="0" w:line="480" w:lineRule="auto"/>
        <w:jc w:val="both"/>
        <w:rPr>
          <w:rFonts w:ascii="Times New Roman" w:hAnsi="Times New Roman" w:cs="Times New Roman"/>
          <w:b/>
          <w:sz w:val="24"/>
          <w:szCs w:val="24"/>
        </w:rPr>
      </w:pPr>
      <w:r w:rsidRPr="003403BC">
        <w:rPr>
          <w:rFonts w:ascii="Times New Roman" w:hAnsi="Times New Roman" w:cs="Times New Roman"/>
          <w:sz w:val="24"/>
          <w:szCs w:val="24"/>
        </w:rPr>
        <w:t>The measures of center do not change much if we divide the sample into criminal and civil cases.</w:t>
      </w:r>
      <w:r w:rsidRPr="003403BC">
        <w:rPr>
          <w:rStyle w:val="EndnoteReference"/>
          <w:rFonts w:ascii="Times New Roman" w:hAnsi="Times New Roman" w:cs="Times New Roman"/>
          <w:sz w:val="24"/>
          <w:szCs w:val="24"/>
        </w:rPr>
        <w:endnoteReference w:id="30"/>
      </w:r>
      <w:r w:rsidRPr="003403BC">
        <w:rPr>
          <w:rFonts w:ascii="Times New Roman" w:hAnsi="Times New Roman" w:cs="Times New Roman"/>
          <w:sz w:val="24"/>
          <w:szCs w:val="24"/>
        </w:rPr>
        <w:t xml:space="preserve"> The median duration of criminal cases (292 days) is just a bit shorter than that of civil cases (303 days), but the spread is much larger in the later ones. The standard deviation for the criminal cases sample is quite large (117 days) but the one for civil cases almost doubles it (205 days). Accordingly, 25 percent of civil cases required well over a year to be resolved (425 days or more), while 5 percent of those cases lasted at least 740 days. </w:t>
      </w:r>
    </w:p>
    <w:p w14:paraId="44E006FD" w14:textId="77777777" w:rsidR="00204055" w:rsidRDefault="00204055" w:rsidP="003403BC">
      <w:pPr>
        <w:autoSpaceDE w:val="0"/>
        <w:autoSpaceDN w:val="0"/>
        <w:adjustRightInd w:val="0"/>
        <w:spacing w:after="0" w:line="480" w:lineRule="auto"/>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204055" w:rsidRPr="003403BC" w14:paraId="7663B57D" w14:textId="77777777" w:rsidTr="000D1E0B">
        <w:trPr>
          <w:trHeight w:val="131"/>
        </w:trPr>
        <w:tc>
          <w:tcPr>
            <w:tcW w:w="8136" w:type="dxa"/>
          </w:tcPr>
          <w:p w14:paraId="6178E7DB" w14:textId="77777777" w:rsidR="00204055" w:rsidRPr="00623015" w:rsidRDefault="00204055" w:rsidP="000D1E0B">
            <w:pPr>
              <w:spacing w:line="480" w:lineRule="auto"/>
              <w:rPr>
                <w:rFonts w:ascii="Times New Roman" w:hAnsi="Times New Roman" w:cs="Times New Roman"/>
                <w:b/>
                <w:noProof/>
                <w:sz w:val="20"/>
                <w:szCs w:val="20"/>
              </w:rPr>
            </w:pPr>
            <w:r w:rsidRPr="00623015">
              <w:rPr>
                <w:rFonts w:ascii="Times New Roman" w:hAnsi="Times New Roman" w:cs="Times New Roman"/>
                <w:b/>
                <w:noProof/>
                <w:sz w:val="20"/>
                <w:szCs w:val="20"/>
              </w:rPr>
              <w:t>Figure 2: Distribution of case duration under Acordada, divided by civil and criminal cases</w:t>
            </w:r>
          </w:p>
        </w:tc>
      </w:tr>
      <w:tr w:rsidR="00204055" w:rsidRPr="003403BC" w14:paraId="484E99A9" w14:textId="77777777" w:rsidTr="000D1E0B">
        <w:trPr>
          <w:trHeight w:val="5429"/>
        </w:trPr>
        <w:tc>
          <w:tcPr>
            <w:tcW w:w="8136" w:type="dxa"/>
          </w:tcPr>
          <w:p w14:paraId="6A36830E" w14:textId="77777777" w:rsidR="00204055" w:rsidRPr="003403BC" w:rsidRDefault="00204055" w:rsidP="000D1E0B">
            <w:pPr>
              <w:spacing w:line="480" w:lineRule="auto"/>
              <w:jc w:val="center"/>
              <w:rPr>
                <w:rFonts w:ascii="Times New Roman" w:hAnsi="Times New Roman" w:cs="Times New Roman"/>
                <w:noProof/>
                <w:sz w:val="24"/>
                <w:szCs w:val="24"/>
              </w:rPr>
            </w:pPr>
            <w:r w:rsidRPr="003403BC">
              <w:rPr>
                <w:rFonts w:ascii="Times New Roman" w:hAnsi="Times New Roman" w:cs="Times New Roman"/>
                <w:noProof/>
                <w:sz w:val="24"/>
                <w:szCs w:val="24"/>
                <w:lang w:val="es-AR" w:eastAsia="es-AR"/>
              </w:rPr>
              <w:lastRenderedPageBreak/>
              <w:drawing>
                <wp:inline distT="0" distB="0" distL="0" distR="0" wp14:anchorId="6EEBA400" wp14:editId="60FF7422">
                  <wp:extent cx="5076825" cy="3374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9175"/>
                          <a:stretch/>
                        </pic:blipFill>
                        <pic:spPr bwMode="auto">
                          <a:xfrm>
                            <a:off x="0" y="0"/>
                            <a:ext cx="5095634" cy="33871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A69BF9D" w14:textId="22C88BE0" w:rsidR="00204055" w:rsidRPr="003403BC" w:rsidRDefault="00204055" w:rsidP="003403BC">
      <w:pPr>
        <w:autoSpaceDE w:val="0"/>
        <w:autoSpaceDN w:val="0"/>
        <w:adjustRightInd w:val="0"/>
        <w:spacing w:after="0"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One of the early criticisms that CSJN received after passing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was that using it</w:t>
      </w:r>
      <w:r>
        <w:rPr>
          <w:rFonts w:ascii="Times New Roman" w:hAnsi="Times New Roman" w:cs="Times New Roman"/>
          <w:sz w:val="24"/>
          <w:szCs w:val="24"/>
        </w:rPr>
        <w:t xml:space="preserve"> could jeopardize</w:t>
      </w:r>
      <w:r w:rsidRPr="003403BC">
        <w:rPr>
          <w:rFonts w:ascii="Times New Roman" w:hAnsi="Times New Roman" w:cs="Times New Roman"/>
          <w:sz w:val="24"/>
          <w:szCs w:val="24"/>
        </w:rPr>
        <w:t xml:space="preserve"> the benefits derived from CSJN’s “teaching role.”</w:t>
      </w:r>
      <w:r w:rsidRPr="003403BC">
        <w:rPr>
          <w:rStyle w:val="EndnoteReference"/>
          <w:rFonts w:ascii="Times New Roman" w:hAnsi="Times New Roman" w:cs="Times New Roman"/>
          <w:sz w:val="24"/>
          <w:szCs w:val="24"/>
        </w:rPr>
        <w:endnoteReference w:id="31"/>
      </w:r>
      <w:r w:rsidRPr="003403BC">
        <w:rPr>
          <w:rFonts w:ascii="Times New Roman" w:hAnsi="Times New Roman" w:cs="Times New Roman"/>
          <w:sz w:val="24"/>
          <w:szCs w:val="24"/>
        </w:rPr>
        <w:t xml:space="preserve"> </w:t>
      </w:r>
      <w:proofErr w:type="gramStart"/>
      <w:r w:rsidRPr="003403BC">
        <w:rPr>
          <w:rFonts w:ascii="Times New Roman" w:hAnsi="Times New Roman" w:cs="Times New Roman"/>
          <w:sz w:val="24"/>
          <w:szCs w:val="24"/>
        </w:rPr>
        <w:t xml:space="preserve">Article 11 of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mandates that CSJN should reject the appeal by “</w:t>
      </w:r>
      <w:r w:rsidRPr="003403BC">
        <w:rPr>
          <w:rFonts w:ascii="Times New Roman" w:hAnsi="Times New Roman" w:cs="Times New Roman"/>
          <w:i/>
          <w:sz w:val="24"/>
          <w:szCs w:val="24"/>
        </w:rPr>
        <w:t>merely mentioning the norm</w:t>
      </w:r>
      <w:r w:rsidRPr="003403B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spellStart"/>
      <w:r w:rsidRPr="00204055">
        <w:rPr>
          <w:rFonts w:ascii="Times New Roman" w:hAnsi="Times New Roman" w:cs="Times New Roman"/>
          <w:i/>
          <w:sz w:val="24"/>
          <w:szCs w:val="24"/>
        </w:rPr>
        <w:t>Acordada</w:t>
      </w:r>
      <w:proofErr w:type="spellEnd"/>
      <w:r>
        <w:rPr>
          <w:rFonts w:ascii="Times New Roman" w:hAnsi="Times New Roman" w:cs="Times New Roman"/>
          <w:sz w:val="24"/>
          <w:szCs w:val="24"/>
        </w:rPr>
        <w:t>.</w:t>
      </w:r>
      <w:proofErr w:type="gramEnd"/>
      <w:r w:rsidRPr="003403BC">
        <w:rPr>
          <w:rFonts w:ascii="Times New Roman" w:hAnsi="Times New Roman" w:cs="Times New Roman"/>
          <w:sz w:val="24"/>
          <w:szCs w:val="24"/>
        </w:rPr>
        <w:t xml:space="preserve"> Therefore, it was feared that the use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would lead CSJN to avoid mentioning the </w:t>
      </w:r>
      <w:r>
        <w:rPr>
          <w:rFonts w:ascii="Times New Roman" w:hAnsi="Times New Roman" w:cs="Times New Roman"/>
          <w:sz w:val="24"/>
          <w:szCs w:val="24"/>
        </w:rPr>
        <w:t xml:space="preserve">specific </w:t>
      </w:r>
      <w:r w:rsidRPr="003403BC">
        <w:rPr>
          <w:rFonts w:ascii="Times New Roman" w:hAnsi="Times New Roman" w:cs="Times New Roman"/>
          <w:sz w:val="24"/>
          <w:szCs w:val="24"/>
        </w:rPr>
        <w:t xml:space="preserve">legal basis of its opinion. That worry is not supported by the evidence. By contrast, the Court seems to have been quite explicit about the specific norms of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that was not complied with by the relevant Appeal. For each case in our database we coded, the article (s) cited by CSJN. Most of the time (73</w:t>
      </w:r>
      <w:r>
        <w:rPr>
          <w:rFonts w:ascii="Times New Roman" w:hAnsi="Times New Roman" w:cs="Times New Roman"/>
          <w:sz w:val="24"/>
          <w:szCs w:val="24"/>
        </w:rPr>
        <w:t xml:space="preserve"> percent</w:t>
      </w:r>
      <w:r w:rsidRPr="003403BC">
        <w:rPr>
          <w:rFonts w:ascii="Times New Roman" w:hAnsi="Times New Roman" w:cs="Times New Roman"/>
          <w:sz w:val="24"/>
          <w:szCs w:val="24"/>
        </w:rPr>
        <w:t xml:space="preserve"> of cases) CSJN cites just one article and, in our sample, up to 5 articles are cited, but only 3 times.</w:t>
      </w:r>
    </w:p>
    <w:p w14:paraId="15E8ADFF" w14:textId="77777777" w:rsidR="00204055" w:rsidRDefault="00204055" w:rsidP="003403BC">
      <w:pPr>
        <w:autoSpaceDE w:val="0"/>
        <w:autoSpaceDN w:val="0"/>
        <w:adjustRightInd w:val="0"/>
        <w:spacing w:after="0" w:line="480" w:lineRule="auto"/>
        <w:jc w:val="both"/>
        <w:rPr>
          <w:rFonts w:ascii="Times New Roman" w:hAnsi="Times New Roman" w:cs="Times New Roman"/>
          <w:b/>
          <w:sz w:val="24"/>
          <w:szCs w:val="24"/>
        </w:rPr>
      </w:pPr>
    </w:p>
    <w:p w14:paraId="1A67DFD0" w14:textId="77777777" w:rsidR="00204055" w:rsidRPr="00623015" w:rsidRDefault="00204055" w:rsidP="00DF058F">
      <w:pPr>
        <w:autoSpaceDE w:val="0"/>
        <w:autoSpaceDN w:val="0"/>
        <w:adjustRightInd w:val="0"/>
        <w:spacing w:after="0" w:line="480" w:lineRule="auto"/>
        <w:jc w:val="both"/>
        <w:rPr>
          <w:rFonts w:ascii="Times New Roman" w:hAnsi="Times New Roman" w:cs="Times New Roman"/>
          <w:b/>
          <w:sz w:val="20"/>
          <w:szCs w:val="20"/>
        </w:rPr>
      </w:pPr>
      <w:r w:rsidRPr="00623015">
        <w:rPr>
          <w:rFonts w:ascii="Times New Roman" w:hAnsi="Times New Roman" w:cs="Times New Roman"/>
          <w:b/>
          <w:sz w:val="20"/>
          <w:szCs w:val="20"/>
        </w:rPr>
        <w:lastRenderedPageBreak/>
        <w:t>Figure 3: Number of articles cited per opinion</w:t>
      </w:r>
    </w:p>
    <w:p w14:paraId="1E01EFAD" w14:textId="77777777" w:rsidR="00204055" w:rsidRDefault="00204055" w:rsidP="00DF058F">
      <w:pPr>
        <w:autoSpaceDE w:val="0"/>
        <w:autoSpaceDN w:val="0"/>
        <w:adjustRightInd w:val="0"/>
        <w:spacing w:after="0" w:line="480" w:lineRule="auto"/>
        <w:jc w:val="both"/>
        <w:rPr>
          <w:rFonts w:ascii="Times New Roman" w:hAnsi="Times New Roman" w:cs="Times New Roman"/>
          <w:sz w:val="24"/>
          <w:szCs w:val="24"/>
        </w:rPr>
      </w:pPr>
      <w:r w:rsidRPr="003403BC">
        <w:rPr>
          <w:rFonts w:ascii="Times New Roman" w:hAnsi="Times New Roman" w:cs="Times New Roman"/>
          <w:noProof/>
          <w:sz w:val="24"/>
          <w:szCs w:val="24"/>
          <w:lang w:val="es-AR" w:eastAsia="es-AR"/>
        </w:rPr>
        <w:drawing>
          <wp:inline distT="0" distB="0" distL="0" distR="0" wp14:anchorId="431717FD" wp14:editId="6800245E">
            <wp:extent cx="3771900" cy="276044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812" cy="2765498"/>
                    </a:xfrm>
                    <a:prstGeom prst="rect">
                      <a:avLst/>
                    </a:prstGeom>
                    <a:noFill/>
                    <a:ln>
                      <a:noFill/>
                    </a:ln>
                  </pic:spPr>
                </pic:pic>
              </a:graphicData>
            </a:graphic>
          </wp:inline>
        </w:drawing>
      </w:r>
      <w:r w:rsidRPr="003403BC">
        <w:rPr>
          <w:rFonts w:ascii="Times New Roman" w:hAnsi="Times New Roman" w:cs="Times New Roman"/>
          <w:sz w:val="24"/>
          <w:szCs w:val="24"/>
        </w:rPr>
        <w:t xml:space="preserve"> </w:t>
      </w:r>
    </w:p>
    <w:p w14:paraId="4B5493C4" w14:textId="77777777" w:rsidR="00204055" w:rsidRPr="003403BC" w:rsidRDefault="00204055" w:rsidP="003403BC">
      <w:pPr>
        <w:autoSpaceDE w:val="0"/>
        <w:autoSpaceDN w:val="0"/>
        <w:adjustRightInd w:val="0"/>
        <w:spacing w:after="0" w:line="480" w:lineRule="auto"/>
        <w:jc w:val="both"/>
        <w:rPr>
          <w:rFonts w:ascii="Times New Roman" w:hAnsi="Times New Roman" w:cs="Times New Roman"/>
          <w:noProof/>
          <w:sz w:val="24"/>
          <w:szCs w:val="24"/>
        </w:rPr>
      </w:pPr>
      <w:r w:rsidRPr="003403BC">
        <w:rPr>
          <w:rFonts w:ascii="Times New Roman" w:hAnsi="Times New Roman" w:cs="Times New Roman"/>
          <w:noProof/>
          <w:sz w:val="24"/>
          <w:szCs w:val="24"/>
        </w:rPr>
        <w:t>The article most frequently cited by CSJN is Article 4 (53</w:t>
      </w:r>
      <w:r>
        <w:rPr>
          <w:rFonts w:ascii="Times New Roman" w:hAnsi="Times New Roman" w:cs="Times New Roman"/>
          <w:noProof/>
          <w:sz w:val="24"/>
          <w:szCs w:val="24"/>
        </w:rPr>
        <w:t xml:space="preserve"> percent</w:t>
      </w:r>
      <w:r w:rsidRPr="003403BC">
        <w:rPr>
          <w:rFonts w:ascii="Times New Roman" w:hAnsi="Times New Roman" w:cs="Times New Roman"/>
          <w:noProof/>
          <w:sz w:val="24"/>
          <w:szCs w:val="24"/>
        </w:rPr>
        <w:t xml:space="preserve"> of the time), followed by Article 7 (41</w:t>
      </w:r>
      <w:r>
        <w:rPr>
          <w:rFonts w:ascii="Times New Roman" w:hAnsi="Times New Roman" w:cs="Times New Roman"/>
          <w:noProof/>
          <w:sz w:val="24"/>
          <w:szCs w:val="24"/>
        </w:rPr>
        <w:t xml:space="preserve"> percent</w:t>
      </w:r>
      <w:r w:rsidRPr="003403BC">
        <w:rPr>
          <w:rFonts w:ascii="Times New Roman" w:hAnsi="Times New Roman" w:cs="Times New Roman"/>
          <w:noProof/>
          <w:sz w:val="24"/>
          <w:szCs w:val="24"/>
        </w:rPr>
        <w:t>) and Article 1 (24</w:t>
      </w:r>
      <w:r>
        <w:rPr>
          <w:rFonts w:ascii="Times New Roman" w:hAnsi="Times New Roman" w:cs="Times New Roman"/>
          <w:noProof/>
          <w:sz w:val="24"/>
          <w:szCs w:val="24"/>
        </w:rPr>
        <w:t xml:space="preserve"> percent</w:t>
      </w:r>
      <w:r w:rsidRPr="003403BC">
        <w:rPr>
          <w:rFonts w:ascii="Times New Roman" w:hAnsi="Times New Roman" w:cs="Times New Roman"/>
          <w:noProof/>
          <w:sz w:val="24"/>
          <w:szCs w:val="24"/>
        </w:rPr>
        <w:t xml:space="preserve">). Articles 1 and 4 refer to the maximum page extension and to the page format for the REX and RHE respectively. Together, the violation of the maximun length and page format accounts for 71 percent of all the appeals rejected. Adding Article 7 rejections –i.e. appeals lacking copies of relevant dockett documents- accounts for 95 percent percent of all appeal rejections based on Acordada. </w:t>
      </w:r>
    </w:p>
    <w:p w14:paraId="06B5B0D4" w14:textId="77777777" w:rsidR="00204055" w:rsidRDefault="00204055" w:rsidP="003403BC">
      <w:pPr>
        <w:autoSpaceDE w:val="0"/>
        <w:autoSpaceDN w:val="0"/>
        <w:adjustRightInd w:val="0"/>
        <w:spacing w:after="0" w:line="480" w:lineRule="auto"/>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204055" w:rsidRPr="003403BC" w14:paraId="4E68FC05" w14:textId="77777777" w:rsidTr="00623015">
        <w:trPr>
          <w:trHeight w:val="180"/>
        </w:trPr>
        <w:tc>
          <w:tcPr>
            <w:tcW w:w="8136" w:type="dxa"/>
          </w:tcPr>
          <w:p w14:paraId="034D7AB4" w14:textId="77777777" w:rsidR="00204055" w:rsidRPr="00623015" w:rsidRDefault="00204055" w:rsidP="000D1E0B">
            <w:pPr>
              <w:spacing w:line="480" w:lineRule="auto"/>
              <w:rPr>
                <w:rFonts w:ascii="Times New Roman" w:hAnsi="Times New Roman" w:cs="Times New Roman"/>
                <w:b/>
                <w:sz w:val="20"/>
                <w:szCs w:val="20"/>
              </w:rPr>
            </w:pPr>
            <w:r w:rsidRPr="00623015">
              <w:rPr>
                <w:rFonts w:ascii="Times New Roman" w:hAnsi="Times New Roman" w:cs="Times New Roman"/>
                <w:b/>
                <w:sz w:val="20"/>
                <w:szCs w:val="20"/>
              </w:rPr>
              <w:t>Figure 4: Frequency of articles cited by CSJN</w:t>
            </w:r>
          </w:p>
        </w:tc>
      </w:tr>
      <w:tr w:rsidR="00204055" w:rsidRPr="003403BC" w14:paraId="099CEE57" w14:textId="77777777" w:rsidTr="00623015">
        <w:trPr>
          <w:trHeight w:val="3574"/>
        </w:trPr>
        <w:tc>
          <w:tcPr>
            <w:tcW w:w="8136" w:type="dxa"/>
          </w:tcPr>
          <w:p w14:paraId="2C99213D" w14:textId="77777777" w:rsidR="00204055" w:rsidRPr="003403BC" w:rsidRDefault="00204055" w:rsidP="000D1E0B">
            <w:pPr>
              <w:spacing w:line="480" w:lineRule="auto"/>
              <w:rPr>
                <w:rFonts w:ascii="Times New Roman" w:hAnsi="Times New Roman" w:cs="Times New Roman"/>
                <w:sz w:val="24"/>
                <w:szCs w:val="24"/>
              </w:rPr>
            </w:pPr>
            <w:r w:rsidRPr="003403BC">
              <w:rPr>
                <w:rFonts w:ascii="Times New Roman" w:hAnsi="Times New Roman" w:cs="Times New Roman"/>
                <w:noProof/>
                <w:sz w:val="24"/>
                <w:szCs w:val="24"/>
                <w:lang w:val="es-AR" w:eastAsia="es-AR"/>
              </w:rPr>
              <w:lastRenderedPageBreak/>
              <w:drawing>
                <wp:inline distT="0" distB="0" distL="0" distR="0" wp14:anchorId="688013B8" wp14:editId="1481776D">
                  <wp:extent cx="4302146" cy="3148641"/>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4256" cy="3150185"/>
                          </a:xfrm>
                          <a:prstGeom prst="rect">
                            <a:avLst/>
                          </a:prstGeom>
                          <a:noFill/>
                          <a:ln>
                            <a:noFill/>
                          </a:ln>
                        </pic:spPr>
                      </pic:pic>
                    </a:graphicData>
                  </a:graphic>
                </wp:inline>
              </w:drawing>
            </w:r>
          </w:p>
        </w:tc>
      </w:tr>
    </w:tbl>
    <w:p w14:paraId="64703687" w14:textId="77777777" w:rsidR="00204055" w:rsidRDefault="00204055" w:rsidP="003403BC">
      <w:pPr>
        <w:autoSpaceDE w:val="0"/>
        <w:autoSpaceDN w:val="0"/>
        <w:adjustRightInd w:val="0"/>
        <w:spacing w:after="0" w:line="480" w:lineRule="auto"/>
        <w:jc w:val="both"/>
        <w:rPr>
          <w:rFonts w:ascii="Times New Roman" w:hAnsi="Times New Roman" w:cs="Times New Roman"/>
          <w:noProof/>
          <w:sz w:val="24"/>
          <w:szCs w:val="24"/>
        </w:rPr>
      </w:pPr>
      <w:r w:rsidRPr="003403BC">
        <w:rPr>
          <w:rFonts w:ascii="Times New Roman" w:hAnsi="Times New Roman" w:cs="Times New Roman"/>
          <w:noProof/>
          <w:sz w:val="24"/>
          <w:szCs w:val="24"/>
        </w:rPr>
        <w:t>The frequency of articles cited by the CSJN varies greately between civil and criminal cases. In civil cases the predominant error cited is from Article 4 (54</w:t>
      </w:r>
      <w:r>
        <w:rPr>
          <w:rFonts w:ascii="Times New Roman" w:hAnsi="Times New Roman" w:cs="Times New Roman"/>
          <w:noProof/>
          <w:sz w:val="24"/>
          <w:szCs w:val="24"/>
        </w:rPr>
        <w:t xml:space="preserve"> percent</w:t>
      </w:r>
      <w:r w:rsidRPr="003403BC">
        <w:rPr>
          <w:rFonts w:ascii="Times New Roman" w:hAnsi="Times New Roman" w:cs="Times New Roman"/>
          <w:noProof/>
          <w:sz w:val="24"/>
          <w:szCs w:val="24"/>
        </w:rPr>
        <w:t xml:space="preserve"> of the time), while in criminal cases Article 7 is cited in 71 percent of the cases.</w:t>
      </w:r>
    </w:p>
    <w:p w14:paraId="3FE8B85A" w14:textId="77777777" w:rsidR="00204055" w:rsidRPr="00305F22" w:rsidRDefault="00204055" w:rsidP="003403BC">
      <w:pPr>
        <w:autoSpaceDE w:val="0"/>
        <w:autoSpaceDN w:val="0"/>
        <w:adjustRightInd w:val="0"/>
        <w:spacing w:after="0" w:line="480" w:lineRule="auto"/>
        <w:jc w:val="both"/>
        <w:rPr>
          <w:rFonts w:ascii="Times New Roman" w:hAnsi="Times New Roman" w:cs="Times New Roman"/>
          <w:b/>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204055" w:rsidRPr="003403BC" w14:paraId="224C0C57" w14:textId="77777777" w:rsidTr="00623015">
        <w:tc>
          <w:tcPr>
            <w:tcW w:w="8136" w:type="dxa"/>
          </w:tcPr>
          <w:p w14:paraId="5DF53055" w14:textId="77777777" w:rsidR="00204055" w:rsidRPr="00623015" w:rsidRDefault="00204055" w:rsidP="000D1E0B">
            <w:pPr>
              <w:spacing w:line="480" w:lineRule="auto"/>
              <w:rPr>
                <w:rFonts w:ascii="Times New Roman" w:hAnsi="Times New Roman" w:cs="Times New Roman"/>
                <w:b/>
                <w:noProof/>
                <w:sz w:val="20"/>
                <w:szCs w:val="20"/>
              </w:rPr>
            </w:pPr>
            <w:r w:rsidRPr="00623015">
              <w:rPr>
                <w:rFonts w:ascii="Times New Roman" w:hAnsi="Times New Roman" w:cs="Times New Roman"/>
                <w:b/>
                <w:noProof/>
                <w:sz w:val="20"/>
                <w:szCs w:val="20"/>
              </w:rPr>
              <w:t>Figure 5: Frequency of cited articles, divided by civil and criminal cases</w:t>
            </w:r>
          </w:p>
        </w:tc>
      </w:tr>
      <w:tr w:rsidR="00204055" w:rsidRPr="003403BC" w14:paraId="4E64B124" w14:textId="77777777" w:rsidTr="00623015">
        <w:tc>
          <w:tcPr>
            <w:tcW w:w="8136" w:type="dxa"/>
          </w:tcPr>
          <w:p w14:paraId="5A8228D1" w14:textId="77777777" w:rsidR="00204055" w:rsidRPr="003403BC" w:rsidRDefault="00204055" w:rsidP="000D1E0B">
            <w:pPr>
              <w:spacing w:line="480" w:lineRule="auto"/>
              <w:rPr>
                <w:rFonts w:ascii="Times New Roman" w:hAnsi="Times New Roman" w:cs="Times New Roman"/>
                <w:noProof/>
                <w:sz w:val="24"/>
                <w:szCs w:val="24"/>
              </w:rPr>
            </w:pPr>
            <w:r w:rsidRPr="003403BC">
              <w:rPr>
                <w:rFonts w:ascii="Times New Roman" w:hAnsi="Times New Roman" w:cs="Times New Roman"/>
                <w:noProof/>
                <w:sz w:val="24"/>
                <w:szCs w:val="24"/>
                <w:lang w:val="es-AR" w:eastAsia="es-AR"/>
              </w:rPr>
              <w:lastRenderedPageBreak/>
              <w:drawing>
                <wp:inline distT="0" distB="0" distL="0" distR="0" wp14:anchorId="45CF548F" wp14:editId="3DEBC21F">
                  <wp:extent cx="4164636" cy="30480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4447" cy="3055180"/>
                          </a:xfrm>
                          <a:prstGeom prst="rect">
                            <a:avLst/>
                          </a:prstGeom>
                          <a:noFill/>
                          <a:ln>
                            <a:noFill/>
                          </a:ln>
                        </pic:spPr>
                      </pic:pic>
                    </a:graphicData>
                  </a:graphic>
                </wp:inline>
              </w:drawing>
            </w:r>
          </w:p>
        </w:tc>
      </w:tr>
    </w:tbl>
    <w:p w14:paraId="07EC9C68" w14:textId="77777777" w:rsidR="00204055" w:rsidRPr="00305F22" w:rsidRDefault="00204055" w:rsidP="003403BC">
      <w:pPr>
        <w:autoSpaceDE w:val="0"/>
        <w:autoSpaceDN w:val="0"/>
        <w:adjustRightInd w:val="0"/>
        <w:spacing w:after="0" w:line="480" w:lineRule="auto"/>
        <w:jc w:val="both"/>
        <w:rPr>
          <w:rFonts w:ascii="Times New Roman" w:hAnsi="Times New Roman" w:cs="Times New Roman"/>
          <w:b/>
          <w:noProof/>
          <w:sz w:val="24"/>
          <w:szCs w:val="24"/>
        </w:rPr>
      </w:pPr>
      <w:r w:rsidRPr="003403BC">
        <w:rPr>
          <w:rFonts w:ascii="Times New Roman" w:hAnsi="Times New Roman" w:cs="Times New Roman"/>
          <w:noProof/>
          <w:sz w:val="24"/>
          <w:szCs w:val="24"/>
        </w:rPr>
        <w:t xml:space="preserve">The frequency of decisions based on </w:t>
      </w:r>
      <w:r w:rsidRPr="003403BC">
        <w:rPr>
          <w:rFonts w:ascii="Times New Roman" w:hAnsi="Times New Roman" w:cs="Times New Roman"/>
          <w:i/>
          <w:noProof/>
          <w:sz w:val="24"/>
          <w:szCs w:val="24"/>
        </w:rPr>
        <w:t>Acordada</w:t>
      </w:r>
      <w:r w:rsidRPr="003403BC">
        <w:rPr>
          <w:rFonts w:ascii="Times New Roman" w:hAnsi="Times New Roman" w:cs="Times New Roman"/>
          <w:noProof/>
          <w:sz w:val="24"/>
          <w:szCs w:val="24"/>
        </w:rPr>
        <w:t xml:space="preserve"> varied greatly depending on the substance of the case.</w:t>
      </w:r>
      <w:r>
        <w:rPr>
          <w:rFonts w:ascii="Times New Roman" w:hAnsi="Times New Roman" w:cs="Times New Roman"/>
          <w:noProof/>
          <w:sz w:val="24"/>
          <w:szCs w:val="24"/>
        </w:rPr>
        <w:t xml:space="preserve"> </w:t>
      </w:r>
      <w:r w:rsidRPr="003403BC">
        <w:rPr>
          <w:rFonts w:ascii="Times New Roman" w:hAnsi="Times New Roman" w:cs="Times New Roman"/>
          <w:noProof/>
          <w:sz w:val="24"/>
          <w:szCs w:val="24"/>
        </w:rPr>
        <w:t>Figure 6 reports the frequency of decisions according to our categorization of the underlying subject matter. The area of law with the largest number of cases rejected due to formal errors was Labor Law (39</w:t>
      </w:r>
      <w:r>
        <w:rPr>
          <w:rFonts w:ascii="Times New Roman" w:hAnsi="Times New Roman" w:cs="Times New Roman"/>
          <w:noProof/>
          <w:sz w:val="24"/>
          <w:szCs w:val="24"/>
        </w:rPr>
        <w:t xml:space="preserve"> percent</w:t>
      </w:r>
      <w:r w:rsidRPr="003403BC">
        <w:rPr>
          <w:rFonts w:ascii="Times New Roman" w:hAnsi="Times New Roman" w:cs="Times New Roman"/>
          <w:noProof/>
          <w:sz w:val="24"/>
          <w:szCs w:val="24"/>
        </w:rPr>
        <w:t xml:space="preserve"> of all cases), while Insurance Law was the area of law with the least amount of formal rejections (0.4</w:t>
      </w:r>
      <w:r>
        <w:rPr>
          <w:rFonts w:ascii="Times New Roman" w:hAnsi="Times New Roman" w:cs="Times New Roman"/>
          <w:noProof/>
          <w:sz w:val="24"/>
          <w:szCs w:val="24"/>
        </w:rPr>
        <w:t xml:space="preserve"> percent</w:t>
      </w:r>
      <w:r w:rsidRPr="003403BC">
        <w:rPr>
          <w:rFonts w:ascii="Times New Roman" w:hAnsi="Times New Roman" w:cs="Times New Roman"/>
          <w:noProof/>
          <w:sz w:val="24"/>
          <w:szCs w:val="24"/>
        </w:rPr>
        <w:t xml:space="preserve">). </w:t>
      </w:r>
    </w:p>
    <w:p w14:paraId="1B38EB98" w14:textId="77777777" w:rsidR="00204055" w:rsidRDefault="00204055" w:rsidP="003403BC">
      <w:pPr>
        <w:autoSpaceDE w:val="0"/>
        <w:autoSpaceDN w:val="0"/>
        <w:adjustRightInd w:val="0"/>
        <w:spacing w:after="0" w:line="480" w:lineRule="auto"/>
        <w:jc w:val="both"/>
        <w:rPr>
          <w:rFonts w:ascii="Times New Roman" w:hAnsi="Times New Roman" w:cs="Times New Roman"/>
          <w:b/>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204055" w:rsidRPr="003403BC" w14:paraId="77617BCC" w14:textId="77777777" w:rsidTr="00623015">
        <w:tc>
          <w:tcPr>
            <w:tcW w:w="8136" w:type="dxa"/>
          </w:tcPr>
          <w:p w14:paraId="71B2E754" w14:textId="77777777" w:rsidR="00204055" w:rsidRPr="00623015" w:rsidRDefault="00204055" w:rsidP="000D1E0B">
            <w:pPr>
              <w:spacing w:line="480" w:lineRule="auto"/>
              <w:rPr>
                <w:rFonts w:ascii="Times New Roman" w:hAnsi="Times New Roman" w:cs="Times New Roman"/>
                <w:b/>
                <w:noProof/>
                <w:sz w:val="20"/>
                <w:szCs w:val="20"/>
              </w:rPr>
            </w:pPr>
            <w:r w:rsidRPr="00623015">
              <w:rPr>
                <w:rFonts w:ascii="Times New Roman" w:hAnsi="Times New Roman" w:cs="Times New Roman"/>
                <w:b/>
                <w:noProof/>
                <w:sz w:val="20"/>
                <w:szCs w:val="20"/>
              </w:rPr>
              <w:t>Figure 6: Case subject area and jurisdictional origin</w:t>
            </w:r>
          </w:p>
        </w:tc>
      </w:tr>
      <w:tr w:rsidR="00204055" w:rsidRPr="003403BC" w14:paraId="66B5910E" w14:textId="77777777" w:rsidTr="00623015">
        <w:tc>
          <w:tcPr>
            <w:tcW w:w="8136" w:type="dxa"/>
          </w:tcPr>
          <w:p w14:paraId="71D72BBB" w14:textId="77777777" w:rsidR="00204055" w:rsidRPr="003403BC" w:rsidRDefault="00204055" w:rsidP="000D1E0B">
            <w:pPr>
              <w:spacing w:line="480" w:lineRule="auto"/>
              <w:rPr>
                <w:rFonts w:ascii="Times New Roman" w:hAnsi="Times New Roman" w:cs="Times New Roman"/>
                <w:sz w:val="24"/>
                <w:szCs w:val="24"/>
              </w:rPr>
            </w:pPr>
            <w:r w:rsidRPr="003403BC">
              <w:rPr>
                <w:rFonts w:ascii="Times New Roman" w:hAnsi="Times New Roman" w:cs="Times New Roman"/>
                <w:noProof/>
                <w:sz w:val="24"/>
                <w:szCs w:val="24"/>
                <w:lang w:val="es-AR" w:eastAsia="es-AR"/>
              </w:rPr>
              <w:lastRenderedPageBreak/>
              <w:drawing>
                <wp:inline distT="0" distB="0" distL="0" distR="0" wp14:anchorId="188306BE" wp14:editId="31D931C6">
                  <wp:extent cx="5148125" cy="2764342"/>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5E8AA41F" w14:textId="77777777" w:rsidR="00204055" w:rsidRPr="003403BC" w:rsidRDefault="00204055" w:rsidP="003403BC">
      <w:pPr>
        <w:autoSpaceDE w:val="0"/>
        <w:autoSpaceDN w:val="0"/>
        <w:adjustRightInd w:val="0"/>
        <w:spacing w:after="0" w:line="480" w:lineRule="auto"/>
        <w:jc w:val="both"/>
        <w:rPr>
          <w:rFonts w:ascii="Times New Roman" w:hAnsi="Times New Roman" w:cs="Times New Roman"/>
          <w:noProof/>
          <w:sz w:val="24"/>
          <w:szCs w:val="24"/>
        </w:rPr>
      </w:pPr>
      <w:r w:rsidRPr="003403BC">
        <w:rPr>
          <w:rFonts w:ascii="Times New Roman" w:hAnsi="Times New Roman" w:cs="Times New Roman"/>
          <w:noProof/>
          <w:sz w:val="24"/>
          <w:szCs w:val="24"/>
        </w:rPr>
        <w:t xml:space="preserve">Voting distribution varied greatly across Justices. Justices exposure to appeals depend to a large extent on an internal circulation order which differs according to subject </w:t>
      </w:r>
      <w:r>
        <w:rPr>
          <w:rFonts w:ascii="Times New Roman" w:hAnsi="Times New Roman" w:cs="Times New Roman"/>
          <w:noProof/>
          <w:sz w:val="24"/>
          <w:szCs w:val="24"/>
        </w:rPr>
        <w:t>matter</w:t>
      </w:r>
      <w:r w:rsidRPr="003403BC">
        <w:rPr>
          <w:rFonts w:ascii="Times New Roman" w:hAnsi="Times New Roman" w:cs="Times New Roman"/>
          <w:noProof/>
          <w:sz w:val="24"/>
          <w:szCs w:val="24"/>
        </w:rPr>
        <w:t xml:space="preserve"> specialization.</w:t>
      </w:r>
      <w:r w:rsidRPr="003403BC">
        <w:rPr>
          <w:rStyle w:val="EndnoteReference"/>
          <w:rFonts w:ascii="Times New Roman" w:hAnsi="Times New Roman" w:cs="Times New Roman"/>
          <w:noProof/>
          <w:sz w:val="24"/>
          <w:szCs w:val="24"/>
        </w:rPr>
        <w:endnoteReference w:id="32"/>
      </w:r>
      <w:r w:rsidRPr="003403BC">
        <w:rPr>
          <w:rFonts w:ascii="Times New Roman" w:hAnsi="Times New Roman" w:cs="Times New Roman"/>
          <w:noProof/>
          <w:sz w:val="24"/>
          <w:szCs w:val="24"/>
        </w:rPr>
        <w:t xml:space="preserve"> </w:t>
      </w:r>
      <w:r w:rsidRPr="003403BC">
        <w:rPr>
          <w:rFonts w:ascii="Times New Roman" w:hAnsi="Times New Roman" w:cs="Times New Roman"/>
          <w:sz w:val="24"/>
          <w:szCs w:val="24"/>
        </w:rPr>
        <w:t xml:space="preserve">CSJN’s Justices routinely don’t vote once a majority is obtained. According to interviewee A-3, </w:t>
      </w:r>
      <w:r>
        <w:rPr>
          <w:rFonts w:ascii="Times New Roman" w:hAnsi="Times New Roman" w:cs="Times New Roman"/>
          <w:sz w:val="24"/>
          <w:szCs w:val="24"/>
        </w:rPr>
        <w:t xml:space="preserve">at the time of our study </w:t>
      </w:r>
      <w:r w:rsidRPr="003403BC">
        <w:rPr>
          <w:rFonts w:ascii="Times New Roman" w:hAnsi="Times New Roman" w:cs="Times New Roman"/>
          <w:sz w:val="24"/>
          <w:szCs w:val="24"/>
        </w:rPr>
        <w:t>there</w:t>
      </w:r>
      <w:r>
        <w:rPr>
          <w:rFonts w:ascii="Times New Roman" w:hAnsi="Times New Roman" w:cs="Times New Roman"/>
          <w:sz w:val="24"/>
          <w:szCs w:val="24"/>
        </w:rPr>
        <w:t xml:space="preserve"> wa</w:t>
      </w:r>
      <w:r w:rsidRPr="003403BC">
        <w:rPr>
          <w:rFonts w:ascii="Times New Roman" w:hAnsi="Times New Roman" w:cs="Times New Roman"/>
          <w:sz w:val="24"/>
          <w:szCs w:val="24"/>
        </w:rPr>
        <w:t>s an internal rule approved by the Justices which direct</w:t>
      </w:r>
      <w:r>
        <w:rPr>
          <w:rFonts w:ascii="Times New Roman" w:hAnsi="Times New Roman" w:cs="Times New Roman"/>
          <w:sz w:val="24"/>
          <w:szCs w:val="24"/>
        </w:rPr>
        <w:t>ed</w:t>
      </w:r>
      <w:r w:rsidRPr="003403BC">
        <w:rPr>
          <w:rFonts w:ascii="Times New Roman" w:hAnsi="Times New Roman" w:cs="Times New Roman"/>
          <w:sz w:val="24"/>
          <w:szCs w:val="24"/>
        </w:rPr>
        <w:t xml:space="preserve"> case circulation to stop once 4 votes</w:t>
      </w:r>
      <w:r>
        <w:rPr>
          <w:rFonts w:ascii="Times New Roman" w:hAnsi="Times New Roman" w:cs="Times New Roman"/>
          <w:sz w:val="24"/>
          <w:szCs w:val="24"/>
        </w:rPr>
        <w:t xml:space="preserve"> were </w:t>
      </w:r>
      <w:r w:rsidRPr="003403BC">
        <w:rPr>
          <w:rFonts w:ascii="Times New Roman" w:hAnsi="Times New Roman" w:cs="Times New Roman"/>
          <w:sz w:val="24"/>
          <w:szCs w:val="24"/>
        </w:rPr>
        <w:t>reached if the case merit</w:t>
      </w:r>
      <w:r>
        <w:rPr>
          <w:rFonts w:ascii="Times New Roman" w:hAnsi="Times New Roman" w:cs="Times New Roman"/>
          <w:sz w:val="24"/>
          <w:szCs w:val="24"/>
        </w:rPr>
        <w:t>ed</w:t>
      </w:r>
      <w:r w:rsidRPr="003403BC">
        <w:rPr>
          <w:rFonts w:ascii="Times New Roman" w:hAnsi="Times New Roman" w:cs="Times New Roman"/>
          <w:sz w:val="24"/>
          <w:szCs w:val="24"/>
        </w:rPr>
        <w:t xml:space="preserve"> a boiler plate solution (for instance, certiorari denied). </w:t>
      </w:r>
      <w:proofErr w:type="gramStart"/>
      <w:r w:rsidRPr="003403BC">
        <w:rPr>
          <w:rFonts w:ascii="Times New Roman" w:hAnsi="Times New Roman" w:cs="Times New Roman"/>
          <w:sz w:val="24"/>
          <w:szCs w:val="24"/>
        </w:rPr>
        <w:t>Table 1 shows voting frequency by individual Justice and subject area.</w:t>
      </w:r>
      <w:proofErr w:type="gramEnd"/>
      <w:r w:rsidRPr="003403BC">
        <w:rPr>
          <w:rFonts w:ascii="Times New Roman" w:hAnsi="Times New Roman" w:cs="Times New Roman"/>
          <w:sz w:val="24"/>
          <w:szCs w:val="24"/>
        </w:rPr>
        <w:t xml:space="preserve"> Four Justices -</w:t>
      </w:r>
      <w:proofErr w:type="spellStart"/>
      <w:r w:rsidRPr="003403BC">
        <w:rPr>
          <w:rFonts w:ascii="Times New Roman" w:hAnsi="Times New Roman" w:cs="Times New Roman"/>
          <w:sz w:val="24"/>
          <w:szCs w:val="24"/>
        </w:rPr>
        <w:t>Highton</w:t>
      </w:r>
      <w:proofErr w:type="spellEnd"/>
      <w:r w:rsidRPr="003403BC">
        <w:rPr>
          <w:rFonts w:ascii="Times New Roman" w:hAnsi="Times New Roman" w:cs="Times New Roman"/>
          <w:sz w:val="24"/>
          <w:szCs w:val="24"/>
        </w:rPr>
        <w:t xml:space="preserve">, Lorenzetti, </w:t>
      </w:r>
      <w:proofErr w:type="spellStart"/>
      <w:r w:rsidRPr="003403BC">
        <w:rPr>
          <w:rFonts w:ascii="Times New Roman" w:hAnsi="Times New Roman" w:cs="Times New Roman"/>
          <w:sz w:val="24"/>
          <w:szCs w:val="24"/>
        </w:rPr>
        <w:t>Maqueda</w:t>
      </w:r>
      <w:proofErr w:type="spellEnd"/>
      <w:r w:rsidRPr="003403BC">
        <w:rPr>
          <w:rFonts w:ascii="Times New Roman" w:hAnsi="Times New Roman" w:cs="Times New Roman"/>
          <w:sz w:val="24"/>
          <w:szCs w:val="24"/>
        </w:rPr>
        <w:t xml:space="preserve"> and </w:t>
      </w:r>
      <w:proofErr w:type="spellStart"/>
      <w:r w:rsidRPr="003403BC">
        <w:rPr>
          <w:rFonts w:ascii="Times New Roman" w:hAnsi="Times New Roman" w:cs="Times New Roman"/>
          <w:sz w:val="24"/>
          <w:szCs w:val="24"/>
        </w:rPr>
        <w:t>Petracchi</w:t>
      </w:r>
      <w:proofErr w:type="spellEnd"/>
      <w:r w:rsidRPr="003403BC">
        <w:rPr>
          <w:rFonts w:ascii="Times New Roman" w:hAnsi="Times New Roman" w:cs="Times New Roman"/>
          <w:sz w:val="24"/>
          <w:szCs w:val="24"/>
        </w:rPr>
        <w:t xml:space="preserve">-, seem to have shouldered most of the burden of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decisions.</w:t>
      </w:r>
      <w:r w:rsidRPr="003403BC">
        <w:rPr>
          <w:rStyle w:val="EndnoteReference"/>
          <w:rFonts w:ascii="Times New Roman" w:hAnsi="Times New Roman" w:cs="Times New Roman"/>
          <w:sz w:val="24"/>
          <w:szCs w:val="24"/>
        </w:rPr>
        <w:endnoteReference w:id="33"/>
      </w:r>
      <w:r w:rsidRPr="003403BC">
        <w:rPr>
          <w:rFonts w:ascii="Times New Roman" w:hAnsi="Times New Roman" w:cs="Times New Roman"/>
          <w:sz w:val="24"/>
          <w:szCs w:val="24"/>
        </w:rPr>
        <w:t xml:space="preserve"> Each of these justices issued a concurring vote in at least 92 percent of the cases despite the great variation in subject area (with Justice </w:t>
      </w:r>
      <w:proofErr w:type="spellStart"/>
      <w:r w:rsidRPr="003403BC">
        <w:rPr>
          <w:rFonts w:ascii="Times New Roman" w:hAnsi="Times New Roman" w:cs="Times New Roman"/>
          <w:sz w:val="24"/>
          <w:szCs w:val="24"/>
        </w:rPr>
        <w:t>Petracchi</w:t>
      </w:r>
      <w:proofErr w:type="spellEnd"/>
      <w:r w:rsidRPr="003403BC">
        <w:rPr>
          <w:rFonts w:ascii="Times New Roman" w:hAnsi="Times New Roman" w:cs="Times New Roman"/>
          <w:sz w:val="24"/>
          <w:szCs w:val="24"/>
        </w:rPr>
        <w:t xml:space="preserve"> concurring in 98</w:t>
      </w:r>
      <w:r>
        <w:rPr>
          <w:rFonts w:ascii="Times New Roman" w:hAnsi="Times New Roman" w:cs="Times New Roman"/>
          <w:sz w:val="24"/>
          <w:szCs w:val="24"/>
        </w:rPr>
        <w:t xml:space="preserve"> percent</w:t>
      </w:r>
      <w:r w:rsidRPr="003403BC">
        <w:rPr>
          <w:rFonts w:ascii="Times New Roman" w:hAnsi="Times New Roman" w:cs="Times New Roman"/>
          <w:sz w:val="24"/>
          <w:szCs w:val="24"/>
        </w:rPr>
        <w:t xml:space="preserve"> </w:t>
      </w:r>
      <w:r w:rsidRPr="003403BC">
        <w:rPr>
          <w:rFonts w:ascii="Times New Roman" w:hAnsi="Times New Roman" w:cs="Times New Roman"/>
          <w:sz w:val="24"/>
          <w:szCs w:val="24"/>
        </w:rPr>
        <w:lastRenderedPageBreak/>
        <w:t xml:space="preserve">of cases). At the other extreme, Justices </w:t>
      </w:r>
      <w:proofErr w:type="spellStart"/>
      <w:r w:rsidRPr="003403BC">
        <w:rPr>
          <w:rFonts w:ascii="Times New Roman" w:hAnsi="Times New Roman" w:cs="Times New Roman"/>
          <w:sz w:val="24"/>
          <w:szCs w:val="24"/>
        </w:rPr>
        <w:t>Zaffaroni</w:t>
      </w:r>
      <w:proofErr w:type="spellEnd"/>
      <w:r w:rsidRPr="003403BC">
        <w:rPr>
          <w:rFonts w:ascii="Times New Roman" w:hAnsi="Times New Roman" w:cs="Times New Roman"/>
          <w:sz w:val="24"/>
          <w:szCs w:val="24"/>
        </w:rPr>
        <w:t xml:space="preserve"> and </w:t>
      </w:r>
      <w:proofErr w:type="spellStart"/>
      <w:r w:rsidRPr="003403BC">
        <w:rPr>
          <w:rFonts w:ascii="Times New Roman" w:hAnsi="Times New Roman" w:cs="Times New Roman"/>
          <w:sz w:val="24"/>
          <w:szCs w:val="24"/>
        </w:rPr>
        <w:t>Fayt</w:t>
      </w:r>
      <w:proofErr w:type="spellEnd"/>
      <w:r w:rsidRPr="003403BC">
        <w:rPr>
          <w:rFonts w:ascii="Times New Roman" w:hAnsi="Times New Roman" w:cs="Times New Roman"/>
          <w:sz w:val="24"/>
          <w:szCs w:val="24"/>
        </w:rPr>
        <w:t xml:space="preserve"> issued concurring opinions in only 3 and 4 percent of cases respectively. </w:t>
      </w:r>
    </w:p>
    <w:p w14:paraId="07C71188" w14:textId="77777777" w:rsidR="00204055" w:rsidRDefault="00204055" w:rsidP="003403BC">
      <w:pPr>
        <w:autoSpaceDE w:val="0"/>
        <w:autoSpaceDN w:val="0"/>
        <w:adjustRightInd w:val="0"/>
        <w:spacing w:after="0" w:line="480" w:lineRule="auto"/>
        <w:jc w:val="both"/>
        <w:rPr>
          <w:rFonts w:ascii="Times New Roman" w:eastAsia="Times New Roman" w:hAnsi="Times New Roman" w:cs="Times New Roman"/>
          <w:b/>
          <w:color w:val="000000"/>
          <w:sz w:val="24"/>
          <w:szCs w:val="24"/>
          <w:lang w:eastAsia="es-AR"/>
        </w:rPr>
      </w:pPr>
    </w:p>
    <w:p w14:paraId="7AF840D4" w14:textId="77777777" w:rsidR="00204055" w:rsidRPr="00623015" w:rsidRDefault="00204055" w:rsidP="00DF058F">
      <w:pPr>
        <w:spacing w:after="0" w:line="480" w:lineRule="auto"/>
        <w:rPr>
          <w:rFonts w:ascii="Times New Roman" w:eastAsia="Times New Roman" w:hAnsi="Times New Roman" w:cs="Times New Roman"/>
          <w:b/>
          <w:color w:val="000000"/>
          <w:sz w:val="20"/>
          <w:szCs w:val="20"/>
          <w:lang w:eastAsia="es-AR"/>
        </w:rPr>
      </w:pPr>
      <w:r w:rsidRPr="00623015">
        <w:rPr>
          <w:rFonts w:ascii="Times New Roman" w:eastAsia="Times New Roman" w:hAnsi="Times New Roman" w:cs="Times New Roman"/>
          <w:b/>
          <w:color w:val="000000"/>
          <w:sz w:val="20"/>
          <w:szCs w:val="20"/>
          <w:lang w:eastAsia="es-AR"/>
        </w:rPr>
        <w:t>Table 1: Frequency of voting by individual justice in each subject area</w:t>
      </w:r>
    </w:p>
    <w:tbl>
      <w:tblPr>
        <w:tblStyle w:val="GridTable5Dark"/>
        <w:tblW w:w="8208" w:type="dxa"/>
        <w:tblLook w:val="0420" w:firstRow="1" w:lastRow="0" w:firstColumn="0" w:lastColumn="0" w:noHBand="0" w:noVBand="1"/>
      </w:tblPr>
      <w:tblGrid>
        <w:gridCol w:w="1325"/>
        <w:gridCol w:w="806"/>
        <w:gridCol w:w="702"/>
        <w:gridCol w:w="807"/>
        <w:gridCol w:w="956"/>
        <w:gridCol w:w="905"/>
        <w:gridCol w:w="959"/>
        <w:gridCol w:w="896"/>
        <w:gridCol w:w="858"/>
      </w:tblGrid>
      <w:tr w:rsidR="00204055" w:rsidRPr="003403BC" w14:paraId="56EDCC3A" w14:textId="77777777" w:rsidTr="000D1E0B">
        <w:trPr>
          <w:cnfStyle w:val="100000000000" w:firstRow="1" w:lastRow="0" w:firstColumn="0" w:lastColumn="0" w:oddVBand="0" w:evenVBand="0" w:oddHBand="0" w:evenHBand="0" w:firstRowFirstColumn="0" w:firstRowLastColumn="0" w:lastRowFirstColumn="0" w:lastRowLastColumn="0"/>
          <w:trHeight w:val="84"/>
        </w:trPr>
        <w:tc>
          <w:tcPr>
            <w:tcW w:w="1325" w:type="dxa"/>
            <w:noWrap/>
            <w:vAlign w:val="center"/>
            <w:hideMark/>
          </w:tcPr>
          <w:p w14:paraId="20DC0E96" w14:textId="77777777" w:rsidR="00204055" w:rsidRPr="003403BC" w:rsidRDefault="00204055" w:rsidP="000D1E0B">
            <w:pPr>
              <w:spacing w:line="480" w:lineRule="auto"/>
              <w:jc w:val="center"/>
              <w:rPr>
                <w:rFonts w:ascii="Times New Roman" w:eastAsia="Times New Roman" w:hAnsi="Times New Roman" w:cs="Times New Roman"/>
                <w:b w:val="0"/>
                <w:bCs w:val="0"/>
                <w:color w:val="FFFFFF"/>
                <w:sz w:val="18"/>
                <w:szCs w:val="18"/>
                <w:lang w:val="es-AR" w:eastAsia="es-AR"/>
              </w:rPr>
            </w:pPr>
            <w:r w:rsidRPr="003403BC">
              <w:rPr>
                <w:rFonts w:ascii="Times New Roman" w:eastAsia="Times New Roman" w:hAnsi="Times New Roman" w:cs="Times New Roman"/>
                <w:b w:val="0"/>
                <w:bCs w:val="0"/>
                <w:color w:val="FFFFFF"/>
                <w:sz w:val="18"/>
                <w:szCs w:val="18"/>
                <w:lang w:val="es-AR" w:eastAsia="es-AR"/>
              </w:rPr>
              <w:t>Subject Area</w:t>
            </w:r>
          </w:p>
        </w:tc>
        <w:tc>
          <w:tcPr>
            <w:tcW w:w="805" w:type="dxa"/>
            <w:noWrap/>
            <w:vAlign w:val="center"/>
            <w:hideMark/>
          </w:tcPr>
          <w:p w14:paraId="352856DA" w14:textId="77777777" w:rsidR="00204055" w:rsidRPr="003403BC" w:rsidRDefault="00204055" w:rsidP="000D1E0B">
            <w:pPr>
              <w:spacing w:line="480" w:lineRule="auto"/>
              <w:jc w:val="center"/>
              <w:rPr>
                <w:rFonts w:ascii="Times New Roman" w:eastAsia="Times New Roman" w:hAnsi="Times New Roman" w:cs="Times New Roman"/>
                <w:b w:val="0"/>
                <w:bCs w:val="0"/>
                <w:sz w:val="18"/>
                <w:szCs w:val="18"/>
                <w:lang w:val="es-AR" w:eastAsia="es-AR"/>
              </w:rPr>
            </w:pPr>
            <w:proofErr w:type="spellStart"/>
            <w:r w:rsidRPr="003403BC">
              <w:rPr>
                <w:rFonts w:ascii="Times New Roman" w:eastAsia="Times New Roman" w:hAnsi="Times New Roman" w:cs="Times New Roman"/>
                <w:b w:val="0"/>
                <w:bCs w:val="0"/>
                <w:sz w:val="18"/>
                <w:szCs w:val="18"/>
                <w:lang w:eastAsia="es-AR"/>
              </w:rPr>
              <w:t>Argibay</w:t>
            </w:r>
            <w:proofErr w:type="spellEnd"/>
          </w:p>
        </w:tc>
        <w:tc>
          <w:tcPr>
            <w:tcW w:w="702" w:type="dxa"/>
            <w:noWrap/>
            <w:vAlign w:val="center"/>
            <w:hideMark/>
          </w:tcPr>
          <w:p w14:paraId="6798B22C" w14:textId="77777777" w:rsidR="00204055" w:rsidRPr="003403BC" w:rsidRDefault="00204055" w:rsidP="000D1E0B">
            <w:pPr>
              <w:spacing w:line="480" w:lineRule="auto"/>
              <w:jc w:val="center"/>
              <w:rPr>
                <w:rFonts w:ascii="Times New Roman" w:eastAsia="Times New Roman" w:hAnsi="Times New Roman" w:cs="Times New Roman"/>
                <w:b w:val="0"/>
                <w:bCs w:val="0"/>
                <w:sz w:val="18"/>
                <w:szCs w:val="18"/>
                <w:lang w:val="es-AR" w:eastAsia="es-AR"/>
              </w:rPr>
            </w:pPr>
            <w:proofErr w:type="spellStart"/>
            <w:r w:rsidRPr="003403BC">
              <w:rPr>
                <w:rFonts w:ascii="Times New Roman" w:eastAsia="Times New Roman" w:hAnsi="Times New Roman" w:cs="Times New Roman"/>
                <w:b w:val="0"/>
                <w:bCs w:val="0"/>
                <w:sz w:val="18"/>
                <w:szCs w:val="18"/>
                <w:lang w:eastAsia="es-AR"/>
              </w:rPr>
              <w:t>Fayt</w:t>
            </w:r>
            <w:proofErr w:type="spellEnd"/>
          </w:p>
        </w:tc>
        <w:tc>
          <w:tcPr>
            <w:tcW w:w="806" w:type="dxa"/>
            <w:noWrap/>
            <w:vAlign w:val="center"/>
            <w:hideMark/>
          </w:tcPr>
          <w:p w14:paraId="67F83F0A" w14:textId="77777777" w:rsidR="00204055" w:rsidRPr="003403BC" w:rsidRDefault="00204055" w:rsidP="000D1E0B">
            <w:pPr>
              <w:spacing w:line="480" w:lineRule="auto"/>
              <w:jc w:val="center"/>
              <w:rPr>
                <w:rFonts w:ascii="Times New Roman" w:eastAsia="Times New Roman" w:hAnsi="Times New Roman" w:cs="Times New Roman"/>
                <w:b w:val="0"/>
                <w:bCs w:val="0"/>
                <w:sz w:val="18"/>
                <w:szCs w:val="18"/>
                <w:lang w:val="es-AR" w:eastAsia="es-AR"/>
              </w:rPr>
            </w:pPr>
            <w:proofErr w:type="spellStart"/>
            <w:r w:rsidRPr="003403BC">
              <w:rPr>
                <w:rFonts w:ascii="Times New Roman" w:eastAsia="Times New Roman" w:hAnsi="Times New Roman" w:cs="Times New Roman"/>
                <w:b w:val="0"/>
                <w:bCs w:val="0"/>
                <w:sz w:val="18"/>
                <w:szCs w:val="18"/>
                <w:lang w:eastAsia="es-AR"/>
              </w:rPr>
              <w:t>Highton</w:t>
            </w:r>
            <w:proofErr w:type="spellEnd"/>
          </w:p>
        </w:tc>
        <w:tc>
          <w:tcPr>
            <w:tcW w:w="954" w:type="dxa"/>
            <w:noWrap/>
            <w:vAlign w:val="center"/>
            <w:hideMark/>
          </w:tcPr>
          <w:p w14:paraId="3997428B" w14:textId="77777777" w:rsidR="00204055" w:rsidRPr="003403BC" w:rsidRDefault="00204055" w:rsidP="000D1E0B">
            <w:pPr>
              <w:spacing w:line="480" w:lineRule="auto"/>
              <w:jc w:val="center"/>
              <w:rPr>
                <w:rFonts w:ascii="Times New Roman" w:eastAsia="Times New Roman" w:hAnsi="Times New Roman" w:cs="Times New Roman"/>
                <w:b w:val="0"/>
                <w:bCs w:val="0"/>
                <w:sz w:val="18"/>
                <w:szCs w:val="18"/>
                <w:lang w:val="es-AR" w:eastAsia="es-AR"/>
              </w:rPr>
            </w:pPr>
            <w:r w:rsidRPr="003403BC">
              <w:rPr>
                <w:rFonts w:ascii="Times New Roman" w:eastAsia="Times New Roman" w:hAnsi="Times New Roman" w:cs="Times New Roman"/>
                <w:b w:val="0"/>
                <w:bCs w:val="0"/>
                <w:sz w:val="18"/>
                <w:szCs w:val="18"/>
                <w:lang w:eastAsia="es-AR"/>
              </w:rPr>
              <w:t>Lorenzetti</w:t>
            </w:r>
          </w:p>
        </w:tc>
        <w:tc>
          <w:tcPr>
            <w:tcW w:w="905" w:type="dxa"/>
            <w:noWrap/>
            <w:vAlign w:val="center"/>
            <w:hideMark/>
          </w:tcPr>
          <w:p w14:paraId="7AE09526" w14:textId="77777777" w:rsidR="00204055" w:rsidRPr="003403BC" w:rsidRDefault="00204055" w:rsidP="000D1E0B">
            <w:pPr>
              <w:spacing w:line="480" w:lineRule="auto"/>
              <w:jc w:val="center"/>
              <w:rPr>
                <w:rFonts w:ascii="Times New Roman" w:eastAsia="Times New Roman" w:hAnsi="Times New Roman" w:cs="Times New Roman"/>
                <w:b w:val="0"/>
                <w:bCs w:val="0"/>
                <w:sz w:val="18"/>
                <w:szCs w:val="18"/>
                <w:lang w:val="es-AR" w:eastAsia="es-AR"/>
              </w:rPr>
            </w:pPr>
            <w:proofErr w:type="spellStart"/>
            <w:r w:rsidRPr="003403BC">
              <w:rPr>
                <w:rFonts w:ascii="Times New Roman" w:eastAsia="Times New Roman" w:hAnsi="Times New Roman" w:cs="Times New Roman"/>
                <w:b w:val="0"/>
                <w:bCs w:val="0"/>
                <w:sz w:val="18"/>
                <w:szCs w:val="18"/>
                <w:lang w:eastAsia="es-AR"/>
              </w:rPr>
              <w:t>Maqueda</w:t>
            </w:r>
            <w:proofErr w:type="spellEnd"/>
          </w:p>
        </w:tc>
        <w:tc>
          <w:tcPr>
            <w:tcW w:w="959" w:type="dxa"/>
            <w:noWrap/>
            <w:vAlign w:val="center"/>
            <w:hideMark/>
          </w:tcPr>
          <w:p w14:paraId="14C6DE06" w14:textId="77777777" w:rsidR="00204055" w:rsidRPr="003403BC" w:rsidRDefault="00204055" w:rsidP="000D1E0B">
            <w:pPr>
              <w:spacing w:line="480" w:lineRule="auto"/>
              <w:jc w:val="center"/>
              <w:rPr>
                <w:rFonts w:ascii="Times New Roman" w:eastAsia="Times New Roman" w:hAnsi="Times New Roman" w:cs="Times New Roman"/>
                <w:b w:val="0"/>
                <w:bCs w:val="0"/>
                <w:sz w:val="18"/>
                <w:szCs w:val="18"/>
                <w:lang w:val="es-AR" w:eastAsia="es-AR"/>
              </w:rPr>
            </w:pPr>
            <w:proofErr w:type="spellStart"/>
            <w:r w:rsidRPr="003403BC">
              <w:rPr>
                <w:rFonts w:ascii="Times New Roman" w:eastAsia="Times New Roman" w:hAnsi="Times New Roman" w:cs="Times New Roman"/>
                <w:b w:val="0"/>
                <w:bCs w:val="0"/>
                <w:sz w:val="18"/>
                <w:szCs w:val="18"/>
                <w:lang w:eastAsia="es-AR"/>
              </w:rPr>
              <w:t>Petracchi</w:t>
            </w:r>
            <w:proofErr w:type="spellEnd"/>
          </w:p>
        </w:tc>
        <w:tc>
          <w:tcPr>
            <w:tcW w:w="894" w:type="dxa"/>
            <w:noWrap/>
            <w:vAlign w:val="center"/>
            <w:hideMark/>
          </w:tcPr>
          <w:p w14:paraId="2C40528A" w14:textId="77777777" w:rsidR="00204055" w:rsidRPr="003403BC" w:rsidRDefault="00204055" w:rsidP="000D1E0B">
            <w:pPr>
              <w:spacing w:line="480" w:lineRule="auto"/>
              <w:jc w:val="center"/>
              <w:rPr>
                <w:rFonts w:ascii="Times New Roman" w:eastAsia="Times New Roman" w:hAnsi="Times New Roman" w:cs="Times New Roman"/>
                <w:b w:val="0"/>
                <w:bCs w:val="0"/>
                <w:sz w:val="18"/>
                <w:szCs w:val="18"/>
                <w:lang w:val="es-AR" w:eastAsia="es-AR"/>
              </w:rPr>
            </w:pPr>
            <w:proofErr w:type="spellStart"/>
            <w:r w:rsidRPr="003403BC">
              <w:rPr>
                <w:rFonts w:ascii="Times New Roman" w:eastAsia="Times New Roman" w:hAnsi="Times New Roman" w:cs="Times New Roman"/>
                <w:b w:val="0"/>
                <w:bCs w:val="0"/>
                <w:sz w:val="18"/>
                <w:szCs w:val="18"/>
                <w:lang w:eastAsia="es-AR"/>
              </w:rPr>
              <w:t>Zaffaroni</w:t>
            </w:r>
            <w:proofErr w:type="spellEnd"/>
          </w:p>
        </w:tc>
        <w:tc>
          <w:tcPr>
            <w:tcW w:w="858" w:type="dxa"/>
            <w:noWrap/>
            <w:vAlign w:val="center"/>
            <w:hideMark/>
          </w:tcPr>
          <w:p w14:paraId="3AAB411D" w14:textId="77777777" w:rsidR="00204055" w:rsidRPr="003403BC" w:rsidRDefault="00204055" w:rsidP="000D1E0B">
            <w:pPr>
              <w:spacing w:line="480" w:lineRule="auto"/>
              <w:jc w:val="center"/>
              <w:rPr>
                <w:rFonts w:ascii="Times New Roman" w:eastAsia="Times New Roman" w:hAnsi="Times New Roman" w:cs="Times New Roman"/>
                <w:b w:val="0"/>
                <w:bCs w:val="0"/>
                <w:sz w:val="18"/>
                <w:szCs w:val="18"/>
                <w:lang w:val="es-AR" w:eastAsia="es-AR"/>
              </w:rPr>
            </w:pPr>
            <w:r w:rsidRPr="003403BC">
              <w:rPr>
                <w:rFonts w:ascii="Times New Roman" w:eastAsia="Times New Roman" w:hAnsi="Times New Roman" w:cs="Times New Roman"/>
                <w:b w:val="0"/>
                <w:bCs w:val="0"/>
                <w:sz w:val="18"/>
                <w:szCs w:val="18"/>
                <w:lang w:val="es-AR" w:eastAsia="es-AR"/>
              </w:rPr>
              <w:t># of cases per Area</w:t>
            </w:r>
          </w:p>
        </w:tc>
      </w:tr>
      <w:tr w:rsidR="00204055" w:rsidRPr="003403BC" w14:paraId="4BEEF5C4" w14:textId="77777777" w:rsidTr="000D1E0B">
        <w:trPr>
          <w:cnfStyle w:val="000000100000" w:firstRow="0" w:lastRow="0" w:firstColumn="0" w:lastColumn="0" w:oddVBand="0" w:evenVBand="0" w:oddHBand="1" w:evenHBand="0" w:firstRowFirstColumn="0" w:firstRowLastColumn="0" w:lastRowFirstColumn="0" w:lastRowLastColumn="0"/>
          <w:trHeight w:val="84"/>
        </w:trPr>
        <w:tc>
          <w:tcPr>
            <w:tcW w:w="1325" w:type="dxa"/>
            <w:noWrap/>
            <w:hideMark/>
          </w:tcPr>
          <w:p w14:paraId="7BC0ACFA" w14:textId="77777777" w:rsidR="00204055" w:rsidRPr="003403BC" w:rsidRDefault="00204055" w:rsidP="000D1E0B">
            <w:pPr>
              <w:spacing w:line="480" w:lineRule="auto"/>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Bankruptcy Law</w:t>
            </w:r>
          </w:p>
        </w:tc>
        <w:tc>
          <w:tcPr>
            <w:tcW w:w="805" w:type="dxa"/>
            <w:noWrap/>
            <w:hideMark/>
          </w:tcPr>
          <w:p w14:paraId="29B8DFD8"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0</w:t>
            </w:r>
          </w:p>
        </w:tc>
        <w:tc>
          <w:tcPr>
            <w:tcW w:w="702" w:type="dxa"/>
            <w:noWrap/>
            <w:hideMark/>
          </w:tcPr>
          <w:p w14:paraId="34702009"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w:t>
            </w:r>
          </w:p>
        </w:tc>
        <w:tc>
          <w:tcPr>
            <w:tcW w:w="806" w:type="dxa"/>
            <w:noWrap/>
            <w:hideMark/>
          </w:tcPr>
          <w:p w14:paraId="4C89C672"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38</w:t>
            </w:r>
          </w:p>
        </w:tc>
        <w:tc>
          <w:tcPr>
            <w:tcW w:w="954" w:type="dxa"/>
            <w:noWrap/>
            <w:hideMark/>
          </w:tcPr>
          <w:p w14:paraId="5C8EE0B3"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37</w:t>
            </w:r>
          </w:p>
        </w:tc>
        <w:tc>
          <w:tcPr>
            <w:tcW w:w="905" w:type="dxa"/>
            <w:noWrap/>
            <w:hideMark/>
          </w:tcPr>
          <w:p w14:paraId="704F1255"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34</w:t>
            </w:r>
          </w:p>
        </w:tc>
        <w:tc>
          <w:tcPr>
            <w:tcW w:w="959" w:type="dxa"/>
            <w:noWrap/>
            <w:hideMark/>
          </w:tcPr>
          <w:p w14:paraId="247F48E2"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38</w:t>
            </w:r>
          </w:p>
        </w:tc>
        <w:tc>
          <w:tcPr>
            <w:tcW w:w="894" w:type="dxa"/>
            <w:noWrap/>
            <w:hideMark/>
          </w:tcPr>
          <w:p w14:paraId="421BBF46"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0</w:t>
            </w:r>
          </w:p>
        </w:tc>
        <w:tc>
          <w:tcPr>
            <w:tcW w:w="858" w:type="dxa"/>
            <w:noWrap/>
            <w:hideMark/>
          </w:tcPr>
          <w:p w14:paraId="3D85AA9C"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38</w:t>
            </w:r>
          </w:p>
        </w:tc>
      </w:tr>
      <w:tr w:rsidR="00204055" w:rsidRPr="003403BC" w14:paraId="2613EB04" w14:textId="77777777" w:rsidTr="000D1E0B">
        <w:trPr>
          <w:trHeight w:val="84"/>
        </w:trPr>
        <w:tc>
          <w:tcPr>
            <w:tcW w:w="1325" w:type="dxa"/>
            <w:noWrap/>
            <w:hideMark/>
          </w:tcPr>
          <w:p w14:paraId="29574AE7" w14:textId="77777777" w:rsidR="00204055" w:rsidRPr="003403BC" w:rsidRDefault="00204055" w:rsidP="000D1E0B">
            <w:pPr>
              <w:spacing w:line="480" w:lineRule="auto"/>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Labor Law</w:t>
            </w:r>
          </w:p>
        </w:tc>
        <w:tc>
          <w:tcPr>
            <w:tcW w:w="805" w:type="dxa"/>
            <w:noWrap/>
            <w:hideMark/>
          </w:tcPr>
          <w:p w14:paraId="14E14C93"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37</w:t>
            </w:r>
          </w:p>
        </w:tc>
        <w:tc>
          <w:tcPr>
            <w:tcW w:w="702" w:type="dxa"/>
            <w:noWrap/>
            <w:hideMark/>
          </w:tcPr>
          <w:p w14:paraId="22434FE9"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5</w:t>
            </w:r>
          </w:p>
        </w:tc>
        <w:tc>
          <w:tcPr>
            <w:tcW w:w="806" w:type="dxa"/>
            <w:noWrap/>
            <w:hideMark/>
          </w:tcPr>
          <w:p w14:paraId="0B5D7371"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433</w:t>
            </w:r>
          </w:p>
        </w:tc>
        <w:tc>
          <w:tcPr>
            <w:tcW w:w="954" w:type="dxa"/>
            <w:noWrap/>
            <w:hideMark/>
          </w:tcPr>
          <w:p w14:paraId="1B2268B4"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435</w:t>
            </w:r>
          </w:p>
        </w:tc>
        <w:tc>
          <w:tcPr>
            <w:tcW w:w="905" w:type="dxa"/>
            <w:noWrap/>
            <w:hideMark/>
          </w:tcPr>
          <w:p w14:paraId="12179324"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436</w:t>
            </w:r>
          </w:p>
        </w:tc>
        <w:tc>
          <w:tcPr>
            <w:tcW w:w="959" w:type="dxa"/>
            <w:noWrap/>
            <w:hideMark/>
          </w:tcPr>
          <w:p w14:paraId="2D748613"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440</w:t>
            </w:r>
          </w:p>
        </w:tc>
        <w:tc>
          <w:tcPr>
            <w:tcW w:w="894" w:type="dxa"/>
            <w:noWrap/>
            <w:hideMark/>
          </w:tcPr>
          <w:p w14:paraId="6A485101"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8</w:t>
            </w:r>
          </w:p>
        </w:tc>
        <w:tc>
          <w:tcPr>
            <w:tcW w:w="858" w:type="dxa"/>
            <w:noWrap/>
            <w:hideMark/>
          </w:tcPr>
          <w:p w14:paraId="735885DA"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443</w:t>
            </w:r>
          </w:p>
        </w:tc>
      </w:tr>
      <w:tr w:rsidR="00204055" w:rsidRPr="003403BC" w14:paraId="574DC5B9" w14:textId="77777777" w:rsidTr="000D1E0B">
        <w:trPr>
          <w:cnfStyle w:val="000000100000" w:firstRow="0" w:lastRow="0" w:firstColumn="0" w:lastColumn="0" w:oddVBand="0" w:evenVBand="0" w:oddHBand="1" w:evenHBand="0" w:firstRowFirstColumn="0" w:firstRowLastColumn="0" w:lastRowFirstColumn="0" w:lastRowLastColumn="0"/>
          <w:trHeight w:val="84"/>
        </w:trPr>
        <w:tc>
          <w:tcPr>
            <w:tcW w:w="1325" w:type="dxa"/>
            <w:noWrap/>
            <w:hideMark/>
          </w:tcPr>
          <w:p w14:paraId="652BC4CE" w14:textId="77777777" w:rsidR="00204055" w:rsidRPr="003403BC" w:rsidRDefault="00204055" w:rsidP="000D1E0B">
            <w:pPr>
              <w:spacing w:line="480" w:lineRule="auto"/>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Property Law</w:t>
            </w:r>
          </w:p>
        </w:tc>
        <w:tc>
          <w:tcPr>
            <w:tcW w:w="805" w:type="dxa"/>
            <w:noWrap/>
            <w:hideMark/>
          </w:tcPr>
          <w:p w14:paraId="5B29F032"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9</w:t>
            </w:r>
          </w:p>
        </w:tc>
        <w:tc>
          <w:tcPr>
            <w:tcW w:w="702" w:type="dxa"/>
            <w:noWrap/>
            <w:hideMark/>
          </w:tcPr>
          <w:p w14:paraId="72F09470"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5</w:t>
            </w:r>
          </w:p>
        </w:tc>
        <w:tc>
          <w:tcPr>
            <w:tcW w:w="806" w:type="dxa"/>
            <w:noWrap/>
            <w:hideMark/>
          </w:tcPr>
          <w:p w14:paraId="127B8A92"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56</w:t>
            </w:r>
          </w:p>
        </w:tc>
        <w:tc>
          <w:tcPr>
            <w:tcW w:w="954" w:type="dxa"/>
            <w:noWrap/>
            <w:hideMark/>
          </w:tcPr>
          <w:p w14:paraId="287FBC83"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60</w:t>
            </w:r>
          </w:p>
        </w:tc>
        <w:tc>
          <w:tcPr>
            <w:tcW w:w="905" w:type="dxa"/>
            <w:noWrap/>
            <w:hideMark/>
          </w:tcPr>
          <w:p w14:paraId="476FAD47"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54</w:t>
            </w:r>
          </w:p>
        </w:tc>
        <w:tc>
          <w:tcPr>
            <w:tcW w:w="959" w:type="dxa"/>
            <w:noWrap/>
            <w:hideMark/>
          </w:tcPr>
          <w:p w14:paraId="225765C5"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59</w:t>
            </w:r>
          </w:p>
        </w:tc>
        <w:tc>
          <w:tcPr>
            <w:tcW w:w="894" w:type="dxa"/>
            <w:noWrap/>
            <w:hideMark/>
          </w:tcPr>
          <w:p w14:paraId="0DE7FC67"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0</w:t>
            </w:r>
          </w:p>
        </w:tc>
        <w:tc>
          <w:tcPr>
            <w:tcW w:w="858" w:type="dxa"/>
            <w:noWrap/>
            <w:hideMark/>
          </w:tcPr>
          <w:p w14:paraId="17CAB9FC"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60</w:t>
            </w:r>
          </w:p>
        </w:tc>
      </w:tr>
      <w:tr w:rsidR="00204055" w:rsidRPr="003403BC" w14:paraId="54398C8F" w14:textId="77777777" w:rsidTr="000D1E0B">
        <w:trPr>
          <w:trHeight w:val="84"/>
        </w:trPr>
        <w:tc>
          <w:tcPr>
            <w:tcW w:w="1325" w:type="dxa"/>
            <w:noWrap/>
            <w:hideMark/>
          </w:tcPr>
          <w:p w14:paraId="5DA7277E" w14:textId="77777777" w:rsidR="00204055" w:rsidRPr="003403BC" w:rsidRDefault="00204055" w:rsidP="000D1E0B">
            <w:pPr>
              <w:spacing w:line="480" w:lineRule="auto"/>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Public law</w:t>
            </w:r>
          </w:p>
        </w:tc>
        <w:tc>
          <w:tcPr>
            <w:tcW w:w="805" w:type="dxa"/>
            <w:noWrap/>
            <w:hideMark/>
          </w:tcPr>
          <w:p w14:paraId="70A2EC14"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139</w:t>
            </w:r>
          </w:p>
        </w:tc>
        <w:tc>
          <w:tcPr>
            <w:tcW w:w="702" w:type="dxa"/>
            <w:noWrap/>
            <w:hideMark/>
          </w:tcPr>
          <w:p w14:paraId="3547BD44"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11</w:t>
            </w:r>
          </w:p>
        </w:tc>
        <w:tc>
          <w:tcPr>
            <w:tcW w:w="806" w:type="dxa"/>
            <w:noWrap/>
            <w:hideMark/>
          </w:tcPr>
          <w:p w14:paraId="1C34B93D"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163</w:t>
            </w:r>
          </w:p>
        </w:tc>
        <w:tc>
          <w:tcPr>
            <w:tcW w:w="954" w:type="dxa"/>
            <w:noWrap/>
            <w:hideMark/>
          </w:tcPr>
          <w:p w14:paraId="2DB32357"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178</w:t>
            </w:r>
          </w:p>
        </w:tc>
        <w:tc>
          <w:tcPr>
            <w:tcW w:w="905" w:type="dxa"/>
            <w:noWrap/>
            <w:hideMark/>
          </w:tcPr>
          <w:p w14:paraId="4C5F93B3"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176</w:t>
            </w:r>
          </w:p>
        </w:tc>
        <w:tc>
          <w:tcPr>
            <w:tcW w:w="959" w:type="dxa"/>
            <w:noWrap/>
            <w:hideMark/>
          </w:tcPr>
          <w:p w14:paraId="09B224BB"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187</w:t>
            </w:r>
          </w:p>
        </w:tc>
        <w:tc>
          <w:tcPr>
            <w:tcW w:w="894" w:type="dxa"/>
            <w:noWrap/>
            <w:hideMark/>
          </w:tcPr>
          <w:p w14:paraId="1237C03A"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3</w:t>
            </w:r>
          </w:p>
        </w:tc>
        <w:tc>
          <w:tcPr>
            <w:tcW w:w="858" w:type="dxa"/>
            <w:noWrap/>
            <w:hideMark/>
          </w:tcPr>
          <w:p w14:paraId="7FD61D93"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193</w:t>
            </w:r>
          </w:p>
        </w:tc>
      </w:tr>
      <w:tr w:rsidR="00204055" w:rsidRPr="003403BC" w14:paraId="5302BDFD" w14:textId="77777777" w:rsidTr="000D1E0B">
        <w:trPr>
          <w:cnfStyle w:val="000000100000" w:firstRow="0" w:lastRow="0" w:firstColumn="0" w:lastColumn="0" w:oddVBand="0" w:evenVBand="0" w:oddHBand="1" w:evenHBand="0" w:firstRowFirstColumn="0" w:firstRowLastColumn="0" w:lastRowFirstColumn="0" w:lastRowLastColumn="0"/>
          <w:trHeight w:val="84"/>
        </w:trPr>
        <w:tc>
          <w:tcPr>
            <w:tcW w:w="1325" w:type="dxa"/>
            <w:noWrap/>
            <w:hideMark/>
          </w:tcPr>
          <w:p w14:paraId="3ED2230A" w14:textId="77777777" w:rsidR="00204055" w:rsidRPr="003403BC" w:rsidRDefault="00204055" w:rsidP="000D1E0B">
            <w:pPr>
              <w:spacing w:line="480" w:lineRule="auto"/>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Tax Law</w:t>
            </w:r>
          </w:p>
        </w:tc>
        <w:tc>
          <w:tcPr>
            <w:tcW w:w="805" w:type="dxa"/>
            <w:noWrap/>
            <w:hideMark/>
          </w:tcPr>
          <w:p w14:paraId="1E970F5A"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26</w:t>
            </w:r>
          </w:p>
        </w:tc>
        <w:tc>
          <w:tcPr>
            <w:tcW w:w="702" w:type="dxa"/>
            <w:noWrap/>
            <w:hideMark/>
          </w:tcPr>
          <w:p w14:paraId="2434A592"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w:t>
            </w:r>
          </w:p>
        </w:tc>
        <w:tc>
          <w:tcPr>
            <w:tcW w:w="806" w:type="dxa"/>
            <w:noWrap/>
            <w:hideMark/>
          </w:tcPr>
          <w:p w14:paraId="12C09C85"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32</w:t>
            </w:r>
          </w:p>
        </w:tc>
        <w:tc>
          <w:tcPr>
            <w:tcW w:w="954" w:type="dxa"/>
            <w:noWrap/>
            <w:hideMark/>
          </w:tcPr>
          <w:p w14:paraId="024162ED"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36</w:t>
            </w:r>
          </w:p>
        </w:tc>
        <w:tc>
          <w:tcPr>
            <w:tcW w:w="905" w:type="dxa"/>
            <w:noWrap/>
            <w:hideMark/>
          </w:tcPr>
          <w:p w14:paraId="217CD1F3"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40</w:t>
            </w:r>
          </w:p>
        </w:tc>
        <w:tc>
          <w:tcPr>
            <w:tcW w:w="959" w:type="dxa"/>
            <w:noWrap/>
            <w:hideMark/>
          </w:tcPr>
          <w:p w14:paraId="4C8F256E"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44</w:t>
            </w:r>
          </w:p>
        </w:tc>
        <w:tc>
          <w:tcPr>
            <w:tcW w:w="894" w:type="dxa"/>
            <w:noWrap/>
            <w:hideMark/>
          </w:tcPr>
          <w:p w14:paraId="2A9BC8C0"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w:t>
            </w:r>
          </w:p>
        </w:tc>
        <w:tc>
          <w:tcPr>
            <w:tcW w:w="858" w:type="dxa"/>
            <w:noWrap/>
            <w:hideMark/>
          </w:tcPr>
          <w:p w14:paraId="357134C8"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44</w:t>
            </w:r>
          </w:p>
        </w:tc>
      </w:tr>
      <w:tr w:rsidR="00204055" w:rsidRPr="003403BC" w14:paraId="7071768A" w14:textId="77777777" w:rsidTr="000D1E0B">
        <w:trPr>
          <w:trHeight w:val="84"/>
        </w:trPr>
        <w:tc>
          <w:tcPr>
            <w:tcW w:w="1325" w:type="dxa"/>
            <w:noWrap/>
            <w:hideMark/>
          </w:tcPr>
          <w:p w14:paraId="2B3F6AE1" w14:textId="77777777" w:rsidR="00204055" w:rsidRPr="003403BC" w:rsidRDefault="00204055" w:rsidP="000D1E0B">
            <w:pPr>
              <w:spacing w:line="480" w:lineRule="auto"/>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Tort Law</w:t>
            </w:r>
          </w:p>
        </w:tc>
        <w:tc>
          <w:tcPr>
            <w:tcW w:w="805" w:type="dxa"/>
            <w:noWrap/>
            <w:hideMark/>
          </w:tcPr>
          <w:p w14:paraId="3AF3F6A8"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24</w:t>
            </w:r>
          </w:p>
        </w:tc>
        <w:tc>
          <w:tcPr>
            <w:tcW w:w="702" w:type="dxa"/>
            <w:noWrap/>
            <w:hideMark/>
          </w:tcPr>
          <w:p w14:paraId="3C4A585C"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w:t>
            </w:r>
          </w:p>
        </w:tc>
        <w:tc>
          <w:tcPr>
            <w:tcW w:w="806" w:type="dxa"/>
            <w:noWrap/>
            <w:hideMark/>
          </w:tcPr>
          <w:p w14:paraId="0B2C8649"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115</w:t>
            </w:r>
          </w:p>
        </w:tc>
        <w:tc>
          <w:tcPr>
            <w:tcW w:w="954" w:type="dxa"/>
            <w:noWrap/>
            <w:hideMark/>
          </w:tcPr>
          <w:p w14:paraId="46284F39"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110</w:t>
            </w:r>
          </w:p>
        </w:tc>
        <w:tc>
          <w:tcPr>
            <w:tcW w:w="905" w:type="dxa"/>
            <w:noWrap/>
            <w:hideMark/>
          </w:tcPr>
          <w:p w14:paraId="13741A19"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108</w:t>
            </w:r>
          </w:p>
        </w:tc>
        <w:tc>
          <w:tcPr>
            <w:tcW w:w="959" w:type="dxa"/>
            <w:noWrap/>
            <w:hideMark/>
          </w:tcPr>
          <w:p w14:paraId="6819E322"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110</w:t>
            </w:r>
          </w:p>
        </w:tc>
        <w:tc>
          <w:tcPr>
            <w:tcW w:w="894" w:type="dxa"/>
            <w:noWrap/>
            <w:hideMark/>
          </w:tcPr>
          <w:p w14:paraId="442B7614"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2</w:t>
            </w:r>
          </w:p>
        </w:tc>
        <w:tc>
          <w:tcPr>
            <w:tcW w:w="858" w:type="dxa"/>
            <w:noWrap/>
            <w:hideMark/>
          </w:tcPr>
          <w:p w14:paraId="525DB83A"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115</w:t>
            </w:r>
          </w:p>
        </w:tc>
      </w:tr>
      <w:tr w:rsidR="00204055" w:rsidRPr="003403BC" w14:paraId="52F43949" w14:textId="77777777" w:rsidTr="000D1E0B">
        <w:trPr>
          <w:cnfStyle w:val="000000100000" w:firstRow="0" w:lastRow="0" w:firstColumn="0" w:lastColumn="0" w:oddVBand="0" w:evenVBand="0" w:oddHBand="1" w:evenHBand="0" w:firstRowFirstColumn="0" w:firstRowLastColumn="0" w:lastRowFirstColumn="0" w:lastRowLastColumn="0"/>
          <w:trHeight w:val="84"/>
        </w:trPr>
        <w:tc>
          <w:tcPr>
            <w:tcW w:w="1325" w:type="dxa"/>
            <w:noWrap/>
            <w:hideMark/>
          </w:tcPr>
          <w:p w14:paraId="4BDD746F" w14:textId="77777777" w:rsidR="00204055" w:rsidRPr="003403BC" w:rsidRDefault="00204055" w:rsidP="000D1E0B">
            <w:pPr>
              <w:spacing w:line="480" w:lineRule="auto"/>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Constitutional Law</w:t>
            </w:r>
          </w:p>
        </w:tc>
        <w:tc>
          <w:tcPr>
            <w:tcW w:w="805" w:type="dxa"/>
            <w:noWrap/>
            <w:hideMark/>
          </w:tcPr>
          <w:p w14:paraId="09C89A2C"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0</w:t>
            </w:r>
          </w:p>
        </w:tc>
        <w:tc>
          <w:tcPr>
            <w:tcW w:w="702" w:type="dxa"/>
            <w:noWrap/>
            <w:hideMark/>
          </w:tcPr>
          <w:p w14:paraId="6FCF4746"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0</w:t>
            </w:r>
          </w:p>
        </w:tc>
        <w:tc>
          <w:tcPr>
            <w:tcW w:w="806" w:type="dxa"/>
            <w:noWrap/>
            <w:hideMark/>
          </w:tcPr>
          <w:p w14:paraId="7DEE3898"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w:t>
            </w:r>
          </w:p>
        </w:tc>
        <w:tc>
          <w:tcPr>
            <w:tcW w:w="954" w:type="dxa"/>
            <w:noWrap/>
            <w:hideMark/>
          </w:tcPr>
          <w:p w14:paraId="36FE1C46"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5</w:t>
            </w:r>
          </w:p>
        </w:tc>
        <w:tc>
          <w:tcPr>
            <w:tcW w:w="905" w:type="dxa"/>
            <w:noWrap/>
            <w:hideMark/>
          </w:tcPr>
          <w:p w14:paraId="4D8F896A"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5</w:t>
            </w:r>
          </w:p>
        </w:tc>
        <w:tc>
          <w:tcPr>
            <w:tcW w:w="959" w:type="dxa"/>
            <w:noWrap/>
            <w:hideMark/>
          </w:tcPr>
          <w:p w14:paraId="16977523"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5</w:t>
            </w:r>
          </w:p>
        </w:tc>
        <w:tc>
          <w:tcPr>
            <w:tcW w:w="894" w:type="dxa"/>
            <w:noWrap/>
            <w:hideMark/>
          </w:tcPr>
          <w:p w14:paraId="4B757A15"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w:t>
            </w:r>
          </w:p>
        </w:tc>
        <w:tc>
          <w:tcPr>
            <w:tcW w:w="858" w:type="dxa"/>
            <w:noWrap/>
            <w:hideMark/>
          </w:tcPr>
          <w:p w14:paraId="74D96492"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5</w:t>
            </w:r>
          </w:p>
        </w:tc>
      </w:tr>
      <w:tr w:rsidR="00204055" w:rsidRPr="003403BC" w14:paraId="03EC4E3B" w14:textId="77777777" w:rsidTr="000D1E0B">
        <w:trPr>
          <w:trHeight w:val="84"/>
        </w:trPr>
        <w:tc>
          <w:tcPr>
            <w:tcW w:w="1325" w:type="dxa"/>
            <w:noWrap/>
            <w:hideMark/>
          </w:tcPr>
          <w:p w14:paraId="7E469648" w14:textId="77777777" w:rsidR="00204055" w:rsidRPr="003403BC" w:rsidRDefault="00204055" w:rsidP="000D1E0B">
            <w:pPr>
              <w:spacing w:line="480" w:lineRule="auto"/>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Contract Law</w:t>
            </w:r>
          </w:p>
        </w:tc>
        <w:tc>
          <w:tcPr>
            <w:tcW w:w="805" w:type="dxa"/>
            <w:noWrap/>
            <w:hideMark/>
          </w:tcPr>
          <w:p w14:paraId="75005684"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9</w:t>
            </w:r>
          </w:p>
        </w:tc>
        <w:tc>
          <w:tcPr>
            <w:tcW w:w="702" w:type="dxa"/>
            <w:noWrap/>
            <w:hideMark/>
          </w:tcPr>
          <w:p w14:paraId="29040AA7"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2</w:t>
            </w:r>
          </w:p>
        </w:tc>
        <w:tc>
          <w:tcPr>
            <w:tcW w:w="806" w:type="dxa"/>
            <w:noWrap/>
            <w:hideMark/>
          </w:tcPr>
          <w:p w14:paraId="1B197685"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37</w:t>
            </w:r>
          </w:p>
        </w:tc>
        <w:tc>
          <w:tcPr>
            <w:tcW w:w="954" w:type="dxa"/>
            <w:noWrap/>
            <w:hideMark/>
          </w:tcPr>
          <w:p w14:paraId="3AE49B97"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39</w:t>
            </w:r>
          </w:p>
        </w:tc>
        <w:tc>
          <w:tcPr>
            <w:tcW w:w="905" w:type="dxa"/>
            <w:noWrap/>
            <w:hideMark/>
          </w:tcPr>
          <w:p w14:paraId="6F31D06F"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39</w:t>
            </w:r>
          </w:p>
        </w:tc>
        <w:tc>
          <w:tcPr>
            <w:tcW w:w="959" w:type="dxa"/>
            <w:noWrap/>
            <w:hideMark/>
          </w:tcPr>
          <w:p w14:paraId="651637B2"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42</w:t>
            </w:r>
          </w:p>
        </w:tc>
        <w:tc>
          <w:tcPr>
            <w:tcW w:w="894" w:type="dxa"/>
            <w:noWrap/>
            <w:hideMark/>
          </w:tcPr>
          <w:p w14:paraId="20638DCB"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0</w:t>
            </w:r>
          </w:p>
        </w:tc>
        <w:tc>
          <w:tcPr>
            <w:tcW w:w="858" w:type="dxa"/>
            <w:noWrap/>
            <w:hideMark/>
          </w:tcPr>
          <w:p w14:paraId="26436E54"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42</w:t>
            </w:r>
          </w:p>
        </w:tc>
      </w:tr>
      <w:tr w:rsidR="00204055" w:rsidRPr="003403BC" w14:paraId="65A62B7A" w14:textId="77777777" w:rsidTr="000D1E0B">
        <w:trPr>
          <w:cnfStyle w:val="000000100000" w:firstRow="0" w:lastRow="0" w:firstColumn="0" w:lastColumn="0" w:oddVBand="0" w:evenVBand="0" w:oddHBand="1" w:evenHBand="0" w:firstRowFirstColumn="0" w:firstRowLastColumn="0" w:lastRowFirstColumn="0" w:lastRowLastColumn="0"/>
          <w:trHeight w:val="84"/>
        </w:trPr>
        <w:tc>
          <w:tcPr>
            <w:tcW w:w="1325" w:type="dxa"/>
            <w:noWrap/>
            <w:hideMark/>
          </w:tcPr>
          <w:p w14:paraId="1B81EC60" w14:textId="77777777" w:rsidR="00204055" w:rsidRPr="003403BC" w:rsidRDefault="00204055" w:rsidP="000D1E0B">
            <w:pPr>
              <w:spacing w:line="480" w:lineRule="auto"/>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Criminal law</w:t>
            </w:r>
          </w:p>
        </w:tc>
        <w:tc>
          <w:tcPr>
            <w:tcW w:w="805" w:type="dxa"/>
            <w:noWrap/>
            <w:hideMark/>
          </w:tcPr>
          <w:p w14:paraId="6255E887"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78</w:t>
            </w:r>
          </w:p>
        </w:tc>
        <w:tc>
          <w:tcPr>
            <w:tcW w:w="702" w:type="dxa"/>
            <w:noWrap/>
            <w:hideMark/>
          </w:tcPr>
          <w:p w14:paraId="14C67217"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7</w:t>
            </w:r>
          </w:p>
        </w:tc>
        <w:tc>
          <w:tcPr>
            <w:tcW w:w="806" w:type="dxa"/>
            <w:noWrap/>
            <w:hideMark/>
          </w:tcPr>
          <w:p w14:paraId="1C13972D"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95</w:t>
            </w:r>
          </w:p>
        </w:tc>
        <w:tc>
          <w:tcPr>
            <w:tcW w:w="954" w:type="dxa"/>
            <w:noWrap/>
            <w:hideMark/>
          </w:tcPr>
          <w:p w14:paraId="369B6361"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76</w:t>
            </w:r>
          </w:p>
        </w:tc>
        <w:tc>
          <w:tcPr>
            <w:tcW w:w="905" w:type="dxa"/>
            <w:noWrap/>
            <w:hideMark/>
          </w:tcPr>
          <w:p w14:paraId="02404567"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99</w:t>
            </w:r>
          </w:p>
        </w:tc>
        <w:tc>
          <w:tcPr>
            <w:tcW w:w="959" w:type="dxa"/>
            <w:noWrap/>
            <w:hideMark/>
          </w:tcPr>
          <w:p w14:paraId="76B326A1"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113</w:t>
            </w:r>
          </w:p>
        </w:tc>
        <w:tc>
          <w:tcPr>
            <w:tcW w:w="894" w:type="dxa"/>
            <w:noWrap/>
            <w:hideMark/>
          </w:tcPr>
          <w:p w14:paraId="51DDE0C1"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16</w:t>
            </w:r>
          </w:p>
        </w:tc>
        <w:tc>
          <w:tcPr>
            <w:tcW w:w="858" w:type="dxa"/>
            <w:noWrap/>
            <w:hideMark/>
          </w:tcPr>
          <w:p w14:paraId="48043D08"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115</w:t>
            </w:r>
          </w:p>
        </w:tc>
      </w:tr>
      <w:tr w:rsidR="00204055" w:rsidRPr="003403BC" w14:paraId="5161D8B4" w14:textId="77777777" w:rsidTr="000D1E0B">
        <w:trPr>
          <w:trHeight w:val="84"/>
        </w:trPr>
        <w:tc>
          <w:tcPr>
            <w:tcW w:w="1325" w:type="dxa"/>
            <w:noWrap/>
            <w:hideMark/>
          </w:tcPr>
          <w:p w14:paraId="32DEE3C7" w14:textId="77777777" w:rsidR="00204055" w:rsidRPr="003403BC" w:rsidRDefault="00204055" w:rsidP="000D1E0B">
            <w:pPr>
              <w:spacing w:line="480" w:lineRule="auto"/>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Criminal Procedure</w:t>
            </w:r>
          </w:p>
        </w:tc>
        <w:tc>
          <w:tcPr>
            <w:tcW w:w="805" w:type="dxa"/>
            <w:noWrap/>
            <w:hideMark/>
          </w:tcPr>
          <w:p w14:paraId="2BD517D2"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37</w:t>
            </w:r>
          </w:p>
        </w:tc>
        <w:tc>
          <w:tcPr>
            <w:tcW w:w="702" w:type="dxa"/>
            <w:noWrap/>
            <w:hideMark/>
          </w:tcPr>
          <w:p w14:paraId="28FF948E"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5</w:t>
            </w:r>
          </w:p>
        </w:tc>
        <w:tc>
          <w:tcPr>
            <w:tcW w:w="806" w:type="dxa"/>
            <w:noWrap/>
            <w:hideMark/>
          </w:tcPr>
          <w:p w14:paraId="6FF2C714"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40</w:t>
            </w:r>
          </w:p>
        </w:tc>
        <w:tc>
          <w:tcPr>
            <w:tcW w:w="954" w:type="dxa"/>
            <w:noWrap/>
            <w:hideMark/>
          </w:tcPr>
          <w:p w14:paraId="4FCC2CA5"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38</w:t>
            </w:r>
          </w:p>
        </w:tc>
        <w:tc>
          <w:tcPr>
            <w:tcW w:w="905" w:type="dxa"/>
            <w:noWrap/>
            <w:hideMark/>
          </w:tcPr>
          <w:p w14:paraId="66D9A2CF"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45</w:t>
            </w:r>
          </w:p>
        </w:tc>
        <w:tc>
          <w:tcPr>
            <w:tcW w:w="959" w:type="dxa"/>
            <w:noWrap/>
            <w:hideMark/>
          </w:tcPr>
          <w:p w14:paraId="4647DC7B"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50</w:t>
            </w:r>
          </w:p>
        </w:tc>
        <w:tc>
          <w:tcPr>
            <w:tcW w:w="894" w:type="dxa"/>
            <w:noWrap/>
            <w:hideMark/>
          </w:tcPr>
          <w:p w14:paraId="4DE22922"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6</w:t>
            </w:r>
          </w:p>
        </w:tc>
        <w:tc>
          <w:tcPr>
            <w:tcW w:w="858" w:type="dxa"/>
            <w:noWrap/>
            <w:hideMark/>
          </w:tcPr>
          <w:p w14:paraId="7850DE02"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52</w:t>
            </w:r>
          </w:p>
        </w:tc>
      </w:tr>
      <w:tr w:rsidR="00204055" w:rsidRPr="003403BC" w14:paraId="225FF4C8" w14:textId="77777777" w:rsidTr="000D1E0B">
        <w:trPr>
          <w:cnfStyle w:val="000000100000" w:firstRow="0" w:lastRow="0" w:firstColumn="0" w:lastColumn="0" w:oddVBand="0" w:evenVBand="0" w:oddHBand="1" w:evenHBand="0" w:firstRowFirstColumn="0" w:firstRowLastColumn="0" w:lastRowFirstColumn="0" w:lastRowLastColumn="0"/>
          <w:trHeight w:val="84"/>
        </w:trPr>
        <w:tc>
          <w:tcPr>
            <w:tcW w:w="1325" w:type="dxa"/>
            <w:noWrap/>
            <w:hideMark/>
          </w:tcPr>
          <w:p w14:paraId="31C35379" w14:textId="77777777" w:rsidR="00204055" w:rsidRPr="003403BC" w:rsidRDefault="00204055" w:rsidP="000D1E0B">
            <w:pPr>
              <w:spacing w:line="480" w:lineRule="auto"/>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Family Law</w:t>
            </w:r>
          </w:p>
        </w:tc>
        <w:tc>
          <w:tcPr>
            <w:tcW w:w="805" w:type="dxa"/>
            <w:noWrap/>
            <w:hideMark/>
          </w:tcPr>
          <w:p w14:paraId="2D6619E2"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w:t>
            </w:r>
          </w:p>
        </w:tc>
        <w:tc>
          <w:tcPr>
            <w:tcW w:w="702" w:type="dxa"/>
            <w:noWrap/>
            <w:hideMark/>
          </w:tcPr>
          <w:p w14:paraId="40FBAD2C"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w:t>
            </w:r>
          </w:p>
        </w:tc>
        <w:tc>
          <w:tcPr>
            <w:tcW w:w="806" w:type="dxa"/>
            <w:noWrap/>
            <w:hideMark/>
          </w:tcPr>
          <w:p w14:paraId="122F420F"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14</w:t>
            </w:r>
          </w:p>
        </w:tc>
        <w:tc>
          <w:tcPr>
            <w:tcW w:w="954" w:type="dxa"/>
            <w:noWrap/>
            <w:hideMark/>
          </w:tcPr>
          <w:p w14:paraId="3A060175"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15</w:t>
            </w:r>
          </w:p>
        </w:tc>
        <w:tc>
          <w:tcPr>
            <w:tcW w:w="905" w:type="dxa"/>
            <w:noWrap/>
            <w:hideMark/>
          </w:tcPr>
          <w:p w14:paraId="1372AE56"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15</w:t>
            </w:r>
          </w:p>
        </w:tc>
        <w:tc>
          <w:tcPr>
            <w:tcW w:w="959" w:type="dxa"/>
            <w:noWrap/>
            <w:hideMark/>
          </w:tcPr>
          <w:p w14:paraId="3196E200"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16</w:t>
            </w:r>
          </w:p>
        </w:tc>
        <w:tc>
          <w:tcPr>
            <w:tcW w:w="894" w:type="dxa"/>
            <w:noWrap/>
            <w:hideMark/>
          </w:tcPr>
          <w:p w14:paraId="0468DBCA"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0</w:t>
            </w:r>
          </w:p>
        </w:tc>
        <w:tc>
          <w:tcPr>
            <w:tcW w:w="858" w:type="dxa"/>
            <w:noWrap/>
            <w:hideMark/>
          </w:tcPr>
          <w:p w14:paraId="45C49A4A"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16</w:t>
            </w:r>
          </w:p>
        </w:tc>
      </w:tr>
      <w:tr w:rsidR="00204055" w:rsidRPr="003403BC" w14:paraId="3E5BAE32" w14:textId="77777777" w:rsidTr="000D1E0B">
        <w:trPr>
          <w:trHeight w:val="84"/>
        </w:trPr>
        <w:tc>
          <w:tcPr>
            <w:tcW w:w="1325" w:type="dxa"/>
            <w:noWrap/>
            <w:hideMark/>
          </w:tcPr>
          <w:p w14:paraId="563E65B6" w14:textId="77777777" w:rsidR="00204055" w:rsidRPr="003403BC" w:rsidRDefault="00204055" w:rsidP="000D1E0B">
            <w:pPr>
              <w:spacing w:line="480" w:lineRule="auto"/>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Human Rights Law</w:t>
            </w:r>
          </w:p>
        </w:tc>
        <w:tc>
          <w:tcPr>
            <w:tcW w:w="805" w:type="dxa"/>
            <w:noWrap/>
            <w:hideMark/>
          </w:tcPr>
          <w:p w14:paraId="32D0D4C7"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2</w:t>
            </w:r>
          </w:p>
        </w:tc>
        <w:tc>
          <w:tcPr>
            <w:tcW w:w="702" w:type="dxa"/>
            <w:noWrap/>
            <w:hideMark/>
          </w:tcPr>
          <w:p w14:paraId="107FB215"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w:t>
            </w:r>
          </w:p>
        </w:tc>
        <w:tc>
          <w:tcPr>
            <w:tcW w:w="806" w:type="dxa"/>
            <w:noWrap/>
            <w:hideMark/>
          </w:tcPr>
          <w:p w14:paraId="0DDF96AA"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5</w:t>
            </w:r>
          </w:p>
        </w:tc>
        <w:tc>
          <w:tcPr>
            <w:tcW w:w="954" w:type="dxa"/>
            <w:noWrap/>
            <w:hideMark/>
          </w:tcPr>
          <w:p w14:paraId="55A3B2BA"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w:t>
            </w:r>
          </w:p>
        </w:tc>
        <w:tc>
          <w:tcPr>
            <w:tcW w:w="905" w:type="dxa"/>
            <w:noWrap/>
            <w:hideMark/>
          </w:tcPr>
          <w:p w14:paraId="040C618A"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5</w:t>
            </w:r>
          </w:p>
        </w:tc>
        <w:tc>
          <w:tcPr>
            <w:tcW w:w="959" w:type="dxa"/>
            <w:noWrap/>
            <w:hideMark/>
          </w:tcPr>
          <w:p w14:paraId="6A06A80C"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w:t>
            </w:r>
          </w:p>
        </w:tc>
        <w:tc>
          <w:tcPr>
            <w:tcW w:w="894" w:type="dxa"/>
            <w:noWrap/>
            <w:hideMark/>
          </w:tcPr>
          <w:p w14:paraId="1C69C80D"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w:t>
            </w:r>
          </w:p>
        </w:tc>
        <w:tc>
          <w:tcPr>
            <w:tcW w:w="858" w:type="dxa"/>
            <w:noWrap/>
            <w:hideMark/>
          </w:tcPr>
          <w:p w14:paraId="212C5F95"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5</w:t>
            </w:r>
          </w:p>
        </w:tc>
      </w:tr>
      <w:tr w:rsidR="00204055" w:rsidRPr="003403BC" w14:paraId="25232B7C" w14:textId="77777777" w:rsidTr="000D1E0B">
        <w:trPr>
          <w:cnfStyle w:val="000000100000" w:firstRow="0" w:lastRow="0" w:firstColumn="0" w:lastColumn="0" w:oddVBand="0" w:evenVBand="0" w:oddHBand="1" w:evenHBand="0" w:firstRowFirstColumn="0" w:firstRowLastColumn="0" w:lastRowFirstColumn="0" w:lastRowLastColumn="0"/>
          <w:trHeight w:val="84"/>
        </w:trPr>
        <w:tc>
          <w:tcPr>
            <w:tcW w:w="1325" w:type="dxa"/>
            <w:noWrap/>
            <w:hideMark/>
          </w:tcPr>
          <w:p w14:paraId="5E36908D" w14:textId="77777777" w:rsidR="00204055" w:rsidRPr="003403BC" w:rsidRDefault="00204055" w:rsidP="000D1E0B">
            <w:pPr>
              <w:spacing w:line="480" w:lineRule="auto"/>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Insurance Law</w:t>
            </w:r>
          </w:p>
        </w:tc>
        <w:tc>
          <w:tcPr>
            <w:tcW w:w="805" w:type="dxa"/>
            <w:noWrap/>
            <w:hideMark/>
          </w:tcPr>
          <w:p w14:paraId="6E5449A3"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0</w:t>
            </w:r>
          </w:p>
        </w:tc>
        <w:tc>
          <w:tcPr>
            <w:tcW w:w="702" w:type="dxa"/>
            <w:noWrap/>
            <w:hideMark/>
          </w:tcPr>
          <w:p w14:paraId="3299D8F1"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0</w:t>
            </w:r>
          </w:p>
        </w:tc>
        <w:tc>
          <w:tcPr>
            <w:tcW w:w="806" w:type="dxa"/>
            <w:noWrap/>
            <w:hideMark/>
          </w:tcPr>
          <w:p w14:paraId="53247096"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w:t>
            </w:r>
          </w:p>
        </w:tc>
        <w:tc>
          <w:tcPr>
            <w:tcW w:w="954" w:type="dxa"/>
            <w:noWrap/>
            <w:hideMark/>
          </w:tcPr>
          <w:p w14:paraId="38001EEE"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w:t>
            </w:r>
          </w:p>
        </w:tc>
        <w:tc>
          <w:tcPr>
            <w:tcW w:w="905" w:type="dxa"/>
            <w:noWrap/>
            <w:hideMark/>
          </w:tcPr>
          <w:p w14:paraId="77AF74A3"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w:t>
            </w:r>
          </w:p>
        </w:tc>
        <w:tc>
          <w:tcPr>
            <w:tcW w:w="959" w:type="dxa"/>
            <w:noWrap/>
            <w:hideMark/>
          </w:tcPr>
          <w:p w14:paraId="211A8BCD"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w:t>
            </w:r>
          </w:p>
        </w:tc>
        <w:tc>
          <w:tcPr>
            <w:tcW w:w="894" w:type="dxa"/>
            <w:noWrap/>
            <w:hideMark/>
          </w:tcPr>
          <w:p w14:paraId="1271F13F"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0</w:t>
            </w:r>
          </w:p>
        </w:tc>
        <w:tc>
          <w:tcPr>
            <w:tcW w:w="858" w:type="dxa"/>
            <w:noWrap/>
            <w:hideMark/>
          </w:tcPr>
          <w:p w14:paraId="3840B316"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4</w:t>
            </w:r>
          </w:p>
        </w:tc>
      </w:tr>
      <w:tr w:rsidR="00204055" w:rsidRPr="003403BC" w14:paraId="1B7AA698" w14:textId="77777777" w:rsidTr="000D1E0B">
        <w:trPr>
          <w:trHeight w:val="84"/>
        </w:trPr>
        <w:tc>
          <w:tcPr>
            <w:tcW w:w="1325" w:type="dxa"/>
            <w:noWrap/>
            <w:hideMark/>
          </w:tcPr>
          <w:p w14:paraId="5147FB61" w14:textId="77777777" w:rsidR="00204055" w:rsidRPr="003403BC" w:rsidRDefault="00204055" w:rsidP="000D1E0B">
            <w:pPr>
              <w:spacing w:line="480" w:lineRule="auto"/>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N/C</w:t>
            </w:r>
          </w:p>
        </w:tc>
        <w:tc>
          <w:tcPr>
            <w:tcW w:w="805" w:type="dxa"/>
            <w:noWrap/>
            <w:hideMark/>
          </w:tcPr>
          <w:p w14:paraId="51838F14"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w:t>
            </w:r>
          </w:p>
        </w:tc>
        <w:tc>
          <w:tcPr>
            <w:tcW w:w="702" w:type="dxa"/>
            <w:noWrap/>
            <w:hideMark/>
          </w:tcPr>
          <w:p w14:paraId="3F14E01C"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0</w:t>
            </w:r>
          </w:p>
        </w:tc>
        <w:tc>
          <w:tcPr>
            <w:tcW w:w="806" w:type="dxa"/>
            <w:noWrap/>
            <w:hideMark/>
          </w:tcPr>
          <w:p w14:paraId="1EE676F4"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7</w:t>
            </w:r>
          </w:p>
        </w:tc>
        <w:tc>
          <w:tcPr>
            <w:tcW w:w="954" w:type="dxa"/>
            <w:noWrap/>
            <w:hideMark/>
          </w:tcPr>
          <w:p w14:paraId="0A6E2DE2"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7</w:t>
            </w:r>
          </w:p>
        </w:tc>
        <w:tc>
          <w:tcPr>
            <w:tcW w:w="905" w:type="dxa"/>
            <w:noWrap/>
            <w:hideMark/>
          </w:tcPr>
          <w:p w14:paraId="3FE2F644"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7</w:t>
            </w:r>
          </w:p>
        </w:tc>
        <w:tc>
          <w:tcPr>
            <w:tcW w:w="959" w:type="dxa"/>
            <w:noWrap/>
            <w:hideMark/>
          </w:tcPr>
          <w:p w14:paraId="010E6D44"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7</w:t>
            </w:r>
          </w:p>
        </w:tc>
        <w:tc>
          <w:tcPr>
            <w:tcW w:w="894" w:type="dxa"/>
            <w:noWrap/>
            <w:hideMark/>
          </w:tcPr>
          <w:p w14:paraId="21828606"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0</w:t>
            </w:r>
          </w:p>
        </w:tc>
        <w:tc>
          <w:tcPr>
            <w:tcW w:w="858" w:type="dxa"/>
            <w:noWrap/>
            <w:hideMark/>
          </w:tcPr>
          <w:p w14:paraId="275C5020"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7</w:t>
            </w:r>
          </w:p>
        </w:tc>
      </w:tr>
      <w:tr w:rsidR="00204055" w:rsidRPr="003403BC" w14:paraId="6C170089" w14:textId="77777777" w:rsidTr="000D1E0B">
        <w:trPr>
          <w:cnfStyle w:val="000000100000" w:firstRow="0" w:lastRow="0" w:firstColumn="0" w:lastColumn="0" w:oddVBand="0" w:evenVBand="0" w:oddHBand="1" w:evenHBand="0" w:firstRowFirstColumn="0" w:firstRowLastColumn="0" w:lastRowFirstColumn="0" w:lastRowLastColumn="0"/>
          <w:trHeight w:val="84"/>
        </w:trPr>
        <w:tc>
          <w:tcPr>
            <w:tcW w:w="1325" w:type="dxa"/>
            <w:noWrap/>
            <w:hideMark/>
          </w:tcPr>
          <w:p w14:paraId="4B55D193" w14:textId="77777777" w:rsidR="00204055" w:rsidRPr="003403BC" w:rsidRDefault="00204055" w:rsidP="000D1E0B">
            <w:pPr>
              <w:spacing w:line="480" w:lineRule="auto"/>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 xml:space="preserve">Total </w:t>
            </w:r>
            <w:r w:rsidRPr="003403BC">
              <w:rPr>
                <w:rFonts w:ascii="Times New Roman" w:eastAsia="Times New Roman" w:hAnsi="Times New Roman" w:cs="Times New Roman"/>
                <w:color w:val="000000"/>
                <w:sz w:val="18"/>
                <w:szCs w:val="18"/>
                <w:lang w:eastAsia="es-AR"/>
              </w:rPr>
              <w:lastRenderedPageBreak/>
              <w:t>concurring opinions</w:t>
            </w:r>
          </w:p>
        </w:tc>
        <w:tc>
          <w:tcPr>
            <w:tcW w:w="805" w:type="dxa"/>
            <w:noWrap/>
            <w:hideMark/>
          </w:tcPr>
          <w:p w14:paraId="3655C703"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lastRenderedPageBreak/>
              <w:t>363</w:t>
            </w:r>
          </w:p>
        </w:tc>
        <w:tc>
          <w:tcPr>
            <w:tcW w:w="702" w:type="dxa"/>
            <w:noWrap/>
            <w:hideMark/>
          </w:tcPr>
          <w:p w14:paraId="13C08EB7"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46</w:t>
            </w:r>
          </w:p>
        </w:tc>
        <w:tc>
          <w:tcPr>
            <w:tcW w:w="806" w:type="dxa"/>
            <w:noWrap/>
            <w:hideMark/>
          </w:tcPr>
          <w:p w14:paraId="5D2FC70A"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1,043</w:t>
            </w:r>
          </w:p>
        </w:tc>
        <w:tc>
          <w:tcPr>
            <w:tcW w:w="954" w:type="dxa"/>
            <w:noWrap/>
            <w:hideMark/>
          </w:tcPr>
          <w:p w14:paraId="0CF3AC31"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1,044</w:t>
            </w:r>
          </w:p>
        </w:tc>
        <w:tc>
          <w:tcPr>
            <w:tcW w:w="905" w:type="dxa"/>
            <w:noWrap/>
            <w:hideMark/>
          </w:tcPr>
          <w:p w14:paraId="7B219A4E"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1,067</w:t>
            </w:r>
          </w:p>
        </w:tc>
        <w:tc>
          <w:tcPr>
            <w:tcW w:w="959" w:type="dxa"/>
            <w:noWrap/>
            <w:hideMark/>
          </w:tcPr>
          <w:p w14:paraId="53299F9D"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1,119</w:t>
            </w:r>
          </w:p>
        </w:tc>
        <w:tc>
          <w:tcPr>
            <w:tcW w:w="894" w:type="dxa"/>
            <w:noWrap/>
            <w:hideMark/>
          </w:tcPr>
          <w:p w14:paraId="7EDD3ED8"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eastAsia="es-AR"/>
              </w:rPr>
              <w:t>38</w:t>
            </w:r>
          </w:p>
        </w:tc>
        <w:tc>
          <w:tcPr>
            <w:tcW w:w="858" w:type="dxa"/>
            <w:noWrap/>
            <w:hideMark/>
          </w:tcPr>
          <w:p w14:paraId="08C0EB7E" w14:textId="77777777" w:rsidR="00204055" w:rsidRPr="003403BC" w:rsidRDefault="00204055" w:rsidP="000D1E0B">
            <w:pPr>
              <w:spacing w:line="480" w:lineRule="auto"/>
              <w:rPr>
                <w:rFonts w:ascii="Times New Roman" w:eastAsia="Times New Roman" w:hAnsi="Times New Roman" w:cs="Times New Roman"/>
                <w:color w:val="000000"/>
                <w:sz w:val="18"/>
                <w:szCs w:val="18"/>
                <w:lang w:val="es-AR" w:eastAsia="es-AR"/>
              </w:rPr>
            </w:pPr>
          </w:p>
        </w:tc>
      </w:tr>
      <w:tr w:rsidR="00204055" w:rsidRPr="003403BC" w14:paraId="12D159E6" w14:textId="77777777" w:rsidTr="000D1E0B">
        <w:trPr>
          <w:trHeight w:val="84"/>
        </w:trPr>
        <w:tc>
          <w:tcPr>
            <w:tcW w:w="1325" w:type="dxa"/>
            <w:noWrap/>
            <w:hideMark/>
          </w:tcPr>
          <w:p w14:paraId="497C77B6" w14:textId="77777777" w:rsidR="00204055" w:rsidRPr="003403BC" w:rsidRDefault="00204055" w:rsidP="000D1E0B">
            <w:pPr>
              <w:spacing w:line="480" w:lineRule="auto"/>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lastRenderedPageBreak/>
              <w:t>Total opinions</w:t>
            </w:r>
          </w:p>
        </w:tc>
        <w:tc>
          <w:tcPr>
            <w:tcW w:w="805" w:type="dxa"/>
            <w:noWrap/>
            <w:hideMark/>
          </w:tcPr>
          <w:p w14:paraId="47096958"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370</w:t>
            </w:r>
          </w:p>
        </w:tc>
        <w:tc>
          <w:tcPr>
            <w:tcW w:w="702" w:type="dxa"/>
            <w:noWrap/>
            <w:hideMark/>
          </w:tcPr>
          <w:p w14:paraId="4F1B21D8"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46</w:t>
            </w:r>
          </w:p>
        </w:tc>
        <w:tc>
          <w:tcPr>
            <w:tcW w:w="806" w:type="dxa"/>
            <w:noWrap/>
            <w:hideMark/>
          </w:tcPr>
          <w:p w14:paraId="5EEE433E"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1075</w:t>
            </w:r>
          </w:p>
        </w:tc>
        <w:tc>
          <w:tcPr>
            <w:tcW w:w="954" w:type="dxa"/>
            <w:noWrap/>
            <w:hideMark/>
          </w:tcPr>
          <w:p w14:paraId="75969150"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1049</w:t>
            </w:r>
          </w:p>
        </w:tc>
        <w:tc>
          <w:tcPr>
            <w:tcW w:w="905" w:type="dxa"/>
            <w:noWrap/>
            <w:hideMark/>
          </w:tcPr>
          <w:p w14:paraId="2C51AA91"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1114</w:t>
            </w:r>
          </w:p>
        </w:tc>
        <w:tc>
          <w:tcPr>
            <w:tcW w:w="959" w:type="dxa"/>
            <w:noWrap/>
            <w:hideMark/>
          </w:tcPr>
          <w:p w14:paraId="540943EF"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1121</w:t>
            </w:r>
          </w:p>
        </w:tc>
        <w:tc>
          <w:tcPr>
            <w:tcW w:w="894" w:type="dxa"/>
            <w:noWrap/>
            <w:hideMark/>
          </w:tcPr>
          <w:p w14:paraId="027FF7B4"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115</w:t>
            </w:r>
          </w:p>
        </w:tc>
        <w:tc>
          <w:tcPr>
            <w:tcW w:w="858" w:type="dxa"/>
            <w:noWrap/>
            <w:hideMark/>
          </w:tcPr>
          <w:p w14:paraId="024E59A2" w14:textId="77777777" w:rsidR="00204055" w:rsidRPr="003403BC" w:rsidRDefault="00204055" w:rsidP="000D1E0B">
            <w:pPr>
              <w:spacing w:line="480" w:lineRule="auto"/>
              <w:jc w:val="right"/>
              <w:rPr>
                <w:rFonts w:ascii="Times New Roman" w:eastAsia="Times New Roman" w:hAnsi="Times New Roman" w:cs="Times New Roman"/>
                <w:color w:val="000000"/>
                <w:sz w:val="18"/>
                <w:szCs w:val="18"/>
                <w:lang w:val="es-AR" w:eastAsia="es-AR"/>
              </w:rPr>
            </w:pPr>
            <w:r w:rsidRPr="003403BC">
              <w:rPr>
                <w:rFonts w:ascii="Times New Roman" w:eastAsia="Times New Roman" w:hAnsi="Times New Roman" w:cs="Times New Roman"/>
                <w:color w:val="000000"/>
                <w:sz w:val="18"/>
                <w:szCs w:val="18"/>
                <w:lang w:val="es-AR" w:eastAsia="es-AR"/>
              </w:rPr>
              <w:t>1139</w:t>
            </w:r>
          </w:p>
        </w:tc>
      </w:tr>
    </w:tbl>
    <w:p w14:paraId="04727FF4" w14:textId="77777777" w:rsidR="00204055" w:rsidRDefault="00204055" w:rsidP="003403BC">
      <w:pPr>
        <w:autoSpaceDE w:val="0"/>
        <w:autoSpaceDN w:val="0"/>
        <w:adjustRightInd w:val="0"/>
        <w:spacing w:after="0" w:line="480" w:lineRule="auto"/>
        <w:jc w:val="both"/>
        <w:rPr>
          <w:rFonts w:ascii="Times New Roman" w:hAnsi="Times New Roman" w:cs="Times New Roman"/>
          <w:b/>
          <w:sz w:val="24"/>
          <w:szCs w:val="24"/>
        </w:rPr>
      </w:pPr>
    </w:p>
    <w:p w14:paraId="37A376B9" w14:textId="77777777" w:rsidR="00204055" w:rsidRPr="003403BC" w:rsidRDefault="00204055" w:rsidP="003403BC">
      <w:pPr>
        <w:autoSpaceDE w:val="0"/>
        <w:autoSpaceDN w:val="0"/>
        <w:adjustRightInd w:val="0"/>
        <w:spacing w:after="0" w:line="480" w:lineRule="auto"/>
        <w:jc w:val="both"/>
        <w:rPr>
          <w:rFonts w:ascii="Times New Roman" w:hAnsi="Times New Roman" w:cs="Times New Roman"/>
          <w:b/>
          <w:sz w:val="24"/>
          <w:szCs w:val="24"/>
        </w:rPr>
      </w:pPr>
      <w:r w:rsidRPr="003403BC">
        <w:rPr>
          <w:rFonts w:ascii="Times New Roman" w:hAnsi="Times New Roman" w:cs="Times New Roman"/>
          <w:b/>
          <w:sz w:val="24"/>
          <w:szCs w:val="24"/>
        </w:rPr>
        <w:t>VI. RESULTS</w:t>
      </w:r>
    </w:p>
    <w:p w14:paraId="150E58A4" w14:textId="77777777" w:rsidR="00204055" w:rsidRPr="00AA6FBE" w:rsidRDefault="00204055" w:rsidP="003403BC">
      <w:pPr>
        <w:autoSpaceDE w:val="0"/>
        <w:autoSpaceDN w:val="0"/>
        <w:adjustRightInd w:val="0"/>
        <w:spacing w:after="0" w:line="480" w:lineRule="auto"/>
        <w:jc w:val="both"/>
        <w:rPr>
          <w:rFonts w:ascii="Times New Roman" w:hAnsi="Times New Roman" w:cs="Times New Roman"/>
          <w:b/>
          <w:sz w:val="24"/>
          <w:szCs w:val="24"/>
        </w:rPr>
      </w:pPr>
      <w:r w:rsidRPr="00AA6FBE">
        <w:rPr>
          <w:rFonts w:ascii="Times New Roman" w:hAnsi="Times New Roman" w:cs="Times New Roman"/>
          <w:b/>
          <w:sz w:val="24"/>
          <w:szCs w:val="24"/>
        </w:rPr>
        <w:t>A. Case duration analysis</w:t>
      </w:r>
    </w:p>
    <w:p w14:paraId="626B4D23" w14:textId="77777777" w:rsidR="00204055" w:rsidRPr="003403BC" w:rsidRDefault="00204055" w:rsidP="003403BC">
      <w:pPr>
        <w:autoSpaceDE w:val="0"/>
        <w:autoSpaceDN w:val="0"/>
        <w:adjustRightInd w:val="0"/>
        <w:spacing w:after="0" w:line="480" w:lineRule="auto"/>
        <w:jc w:val="both"/>
        <w:rPr>
          <w:rFonts w:ascii="Times New Roman" w:hAnsi="Times New Roman" w:cs="Times New Roman"/>
          <w:i/>
          <w:sz w:val="24"/>
          <w:szCs w:val="24"/>
        </w:rPr>
      </w:pPr>
      <w:r w:rsidRPr="003403BC">
        <w:rPr>
          <w:rFonts w:ascii="Times New Roman" w:hAnsi="Times New Roman" w:cs="Times New Roman"/>
          <w:i/>
          <w:sz w:val="24"/>
          <w:szCs w:val="24"/>
        </w:rPr>
        <w:t xml:space="preserve">1. Type and number of errors cited </w:t>
      </w:r>
    </w:p>
    <w:p w14:paraId="497B3572" w14:textId="6F728DF9" w:rsidR="00204055" w:rsidRPr="003403BC" w:rsidRDefault="00204055" w:rsidP="003403BC">
      <w:pPr>
        <w:autoSpaceDE w:val="0"/>
        <w:autoSpaceDN w:val="0"/>
        <w:adjustRightInd w:val="0"/>
        <w:spacing w:after="0"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As explained above, a main focus of this paper is to analyze the effects different types of formal errors have in the </w:t>
      </w:r>
      <w:r>
        <w:rPr>
          <w:rFonts w:ascii="Times New Roman" w:hAnsi="Times New Roman" w:cs="Times New Roman"/>
          <w:sz w:val="24"/>
          <w:szCs w:val="24"/>
        </w:rPr>
        <w:t>duration</w:t>
      </w:r>
      <w:r w:rsidRPr="003403BC">
        <w:rPr>
          <w:rFonts w:ascii="Times New Roman" w:hAnsi="Times New Roman" w:cs="Times New Roman"/>
          <w:sz w:val="24"/>
          <w:szCs w:val="24"/>
        </w:rPr>
        <w:t xml:space="preserve"> of a case. Figure 7 presents the duration of cases for rejections based on each article of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The longest lasting cases are those rejected under article 6 (345 days), article 4 (340 days) or article 1 (336 days). Article 6 cases last close to a month longer than the average case. The cases which last the least are those rejected under articles 3 and 2</w:t>
      </w:r>
      <w:r w:rsidRPr="003403BC">
        <w:rPr>
          <w:rStyle w:val="EndnoteReference"/>
          <w:rFonts w:ascii="Times New Roman" w:hAnsi="Times New Roman" w:cs="Times New Roman"/>
          <w:sz w:val="24"/>
          <w:szCs w:val="24"/>
        </w:rPr>
        <w:endnoteReference w:id="34"/>
      </w:r>
      <w:r w:rsidRPr="003403BC">
        <w:rPr>
          <w:rFonts w:ascii="Times New Roman" w:hAnsi="Times New Roman" w:cs="Times New Roman"/>
          <w:sz w:val="24"/>
          <w:szCs w:val="24"/>
        </w:rPr>
        <w:t xml:space="preserve"> (92 and 69 days faster than the average case, respectively). Article 7 cases are resolved on average 14 days faster than the average case. </w:t>
      </w:r>
    </w:p>
    <w:p w14:paraId="16BE2850" w14:textId="18BD7702" w:rsidR="00204055" w:rsidRPr="003403BC" w:rsidRDefault="00204055" w:rsidP="003403BC">
      <w:pPr>
        <w:autoSpaceDE w:val="0"/>
        <w:autoSpaceDN w:val="0"/>
        <w:adjustRightInd w:val="0"/>
        <w:spacing w:after="0"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The results are somewhat puzzling as verifying compliance with more </w:t>
      </w:r>
      <w:r w:rsidRPr="003403BC">
        <w:rPr>
          <w:rFonts w:ascii="Times New Roman" w:hAnsi="Times New Roman" w:cs="Times New Roman"/>
          <w:i/>
          <w:sz w:val="24"/>
          <w:szCs w:val="24"/>
        </w:rPr>
        <w:t>substantive</w:t>
      </w:r>
      <w:r w:rsidRPr="003403BC">
        <w:rPr>
          <w:rFonts w:ascii="Times New Roman" w:hAnsi="Times New Roman" w:cs="Times New Roman"/>
          <w:sz w:val="24"/>
          <w:szCs w:val="24"/>
        </w:rPr>
        <w:t xml:space="preserve"> requirements of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–such as refutation of each independent argument made by the inferior court- takes less time than checking purely </w:t>
      </w:r>
      <w:r w:rsidRPr="003403BC">
        <w:rPr>
          <w:rFonts w:ascii="Times New Roman" w:hAnsi="Times New Roman" w:cs="Times New Roman"/>
          <w:i/>
          <w:sz w:val="24"/>
          <w:szCs w:val="24"/>
        </w:rPr>
        <w:t>formal</w:t>
      </w:r>
      <w:r w:rsidRPr="003403BC">
        <w:rPr>
          <w:rFonts w:ascii="Times New Roman" w:hAnsi="Times New Roman" w:cs="Times New Roman"/>
          <w:sz w:val="24"/>
          <w:szCs w:val="24"/>
        </w:rPr>
        <w:t xml:space="preserve"> errors –such as verifying the number of lines per page-. In addition, the variation in duration among cases being rejected due to similar reasons –such as under articles 3 and 6- defies our initial intuitions. This is especially perplexing as article 6 asks </w:t>
      </w:r>
      <w:r w:rsidRPr="003403BC">
        <w:rPr>
          <w:rFonts w:ascii="Times New Roman" w:hAnsi="Times New Roman" w:cs="Times New Roman"/>
          <w:sz w:val="24"/>
          <w:szCs w:val="24"/>
        </w:rPr>
        <w:lastRenderedPageBreak/>
        <w:t xml:space="preserve">the court to verify only a subset of the requirements needed under article 3, but the later rejections take on average 119 fewer days. </w:t>
      </w:r>
    </w:p>
    <w:p w14:paraId="181D4CFF" w14:textId="77777777" w:rsidR="00204055" w:rsidRDefault="00204055" w:rsidP="003403BC">
      <w:pPr>
        <w:spacing w:line="480" w:lineRule="auto"/>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204055" w:rsidRPr="003403BC" w14:paraId="5190BF60" w14:textId="77777777" w:rsidTr="000D1E0B">
        <w:tc>
          <w:tcPr>
            <w:tcW w:w="8136" w:type="dxa"/>
          </w:tcPr>
          <w:p w14:paraId="371F9480" w14:textId="77777777" w:rsidR="00204055" w:rsidRPr="00623015" w:rsidRDefault="00204055" w:rsidP="000D1E0B">
            <w:pPr>
              <w:spacing w:line="480" w:lineRule="auto"/>
              <w:rPr>
                <w:rFonts w:ascii="Times New Roman" w:hAnsi="Times New Roman" w:cs="Times New Roman"/>
                <w:b/>
                <w:sz w:val="20"/>
                <w:szCs w:val="20"/>
              </w:rPr>
            </w:pPr>
            <w:r w:rsidRPr="00623015">
              <w:rPr>
                <w:rFonts w:ascii="Times New Roman" w:hAnsi="Times New Roman" w:cs="Times New Roman"/>
                <w:b/>
                <w:sz w:val="20"/>
                <w:szCs w:val="20"/>
              </w:rPr>
              <w:t>Figure 7: Case duration according to error type</w:t>
            </w:r>
          </w:p>
        </w:tc>
      </w:tr>
      <w:tr w:rsidR="00204055" w:rsidRPr="003403BC" w14:paraId="69B4A918" w14:textId="77777777" w:rsidTr="000D1E0B">
        <w:tc>
          <w:tcPr>
            <w:tcW w:w="8136" w:type="dxa"/>
          </w:tcPr>
          <w:p w14:paraId="390AADA7" w14:textId="77777777" w:rsidR="00204055" w:rsidRPr="003403BC" w:rsidRDefault="00204055" w:rsidP="000D1E0B">
            <w:pPr>
              <w:spacing w:line="480" w:lineRule="auto"/>
              <w:rPr>
                <w:rFonts w:ascii="Times New Roman" w:hAnsi="Times New Roman" w:cs="Times New Roman"/>
                <w:sz w:val="24"/>
                <w:szCs w:val="24"/>
              </w:rPr>
            </w:pPr>
            <w:r w:rsidRPr="003403BC">
              <w:rPr>
                <w:rFonts w:ascii="Times New Roman" w:hAnsi="Times New Roman" w:cs="Times New Roman"/>
                <w:noProof/>
                <w:sz w:val="24"/>
                <w:szCs w:val="24"/>
                <w:lang w:val="es-AR" w:eastAsia="es-AR"/>
              </w:rPr>
              <w:drawing>
                <wp:inline distT="0" distB="0" distL="0" distR="0" wp14:anchorId="09079C64" wp14:editId="04076E17">
                  <wp:extent cx="2914015" cy="3495675"/>
                  <wp:effectExtent l="0" t="0" r="63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9473" cy="3550207"/>
                          </a:xfrm>
                          <a:prstGeom prst="rect">
                            <a:avLst/>
                          </a:prstGeom>
                          <a:noFill/>
                          <a:ln>
                            <a:noFill/>
                          </a:ln>
                        </pic:spPr>
                      </pic:pic>
                    </a:graphicData>
                  </a:graphic>
                </wp:inline>
              </w:drawing>
            </w:r>
          </w:p>
        </w:tc>
      </w:tr>
    </w:tbl>
    <w:p w14:paraId="52C7FE38" w14:textId="77777777" w:rsidR="00204055" w:rsidRPr="003403BC" w:rsidRDefault="00204055" w:rsidP="003403BC">
      <w:pPr>
        <w:spacing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Case duration is also affected by the number of articles cited while rejecting a case. Figure 8 reports case duration according to the number of articles cited by CSJN. Besides the three total cases which have 4 or 5 articles cited, cases are resolved the fastest when CSJN cites the violation of just one article (on average 7 days faster than the mean case). Cases where CSJN cites the violation of two or </w:t>
      </w:r>
      <w:r w:rsidRPr="003403BC">
        <w:rPr>
          <w:rFonts w:ascii="Times New Roman" w:hAnsi="Times New Roman" w:cs="Times New Roman"/>
          <w:sz w:val="24"/>
          <w:szCs w:val="24"/>
        </w:rPr>
        <w:lastRenderedPageBreak/>
        <w:t xml:space="preserve">three articles take on average close to a month more (27 and 29 more days, respectively) to be resolved. </w:t>
      </w:r>
    </w:p>
    <w:p w14:paraId="5D7097E3" w14:textId="77777777" w:rsidR="00204055" w:rsidRDefault="00204055" w:rsidP="003403BC">
      <w:pPr>
        <w:spacing w:line="480" w:lineRule="auto"/>
        <w:jc w:val="both"/>
        <w:rPr>
          <w:rFonts w:ascii="Times New Roman" w:hAnsi="Times New Roman" w:cs="Times New Roman"/>
          <w:b/>
          <w:sz w:val="24"/>
          <w:szCs w:val="24"/>
        </w:rPr>
      </w:pPr>
    </w:p>
    <w:p w14:paraId="437FCEBC" w14:textId="77777777" w:rsidR="00204055" w:rsidRPr="00623015" w:rsidRDefault="00204055" w:rsidP="00DF058F">
      <w:pPr>
        <w:spacing w:line="480" w:lineRule="auto"/>
        <w:jc w:val="both"/>
        <w:rPr>
          <w:rFonts w:ascii="Times New Roman" w:hAnsi="Times New Roman" w:cs="Times New Roman"/>
          <w:b/>
          <w:sz w:val="20"/>
          <w:szCs w:val="20"/>
        </w:rPr>
      </w:pPr>
      <w:r w:rsidRPr="00623015">
        <w:rPr>
          <w:rFonts w:ascii="Times New Roman" w:hAnsi="Times New Roman" w:cs="Times New Roman"/>
          <w:b/>
          <w:sz w:val="20"/>
          <w:szCs w:val="20"/>
        </w:rPr>
        <w:t>Figure 8: Case duration depending on the number of articles cited as violation*</w:t>
      </w:r>
    </w:p>
    <w:p w14:paraId="192AD206" w14:textId="77777777" w:rsidR="00204055" w:rsidRPr="003403BC" w:rsidRDefault="00204055" w:rsidP="00DF058F">
      <w:pPr>
        <w:spacing w:line="480" w:lineRule="auto"/>
        <w:jc w:val="both"/>
        <w:rPr>
          <w:rFonts w:ascii="Times New Roman" w:hAnsi="Times New Roman" w:cs="Times New Roman"/>
          <w:sz w:val="24"/>
          <w:szCs w:val="24"/>
        </w:rPr>
      </w:pPr>
      <w:r w:rsidRPr="003403BC">
        <w:rPr>
          <w:rFonts w:ascii="Times New Roman" w:hAnsi="Times New Roman" w:cs="Times New Roman"/>
          <w:noProof/>
          <w:sz w:val="24"/>
          <w:szCs w:val="24"/>
          <w:lang w:val="es-AR" w:eastAsia="es-AR"/>
        </w:rPr>
        <w:drawing>
          <wp:inline distT="0" distB="0" distL="0" distR="0" wp14:anchorId="2C171FF4" wp14:editId="0E31A4F1">
            <wp:extent cx="4242915" cy="310515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3743" cy="3113075"/>
                    </a:xfrm>
                    <a:prstGeom prst="rect">
                      <a:avLst/>
                    </a:prstGeom>
                    <a:noFill/>
                    <a:ln>
                      <a:noFill/>
                    </a:ln>
                  </pic:spPr>
                </pic:pic>
              </a:graphicData>
            </a:graphic>
          </wp:inline>
        </w:drawing>
      </w:r>
    </w:p>
    <w:p w14:paraId="1AC7EDD9" w14:textId="77777777" w:rsidR="00204055" w:rsidRPr="003403BC" w:rsidRDefault="00204055" w:rsidP="003403BC">
      <w:pPr>
        <w:spacing w:line="480" w:lineRule="auto"/>
        <w:jc w:val="both"/>
        <w:rPr>
          <w:rFonts w:ascii="Times New Roman" w:hAnsi="Times New Roman" w:cs="Times New Roman"/>
          <w:i/>
          <w:sz w:val="24"/>
          <w:szCs w:val="24"/>
        </w:rPr>
      </w:pPr>
      <w:r w:rsidRPr="003403BC">
        <w:rPr>
          <w:rFonts w:ascii="Times New Roman" w:hAnsi="Times New Roman" w:cs="Times New Roman"/>
          <w:i/>
          <w:sz w:val="24"/>
          <w:szCs w:val="24"/>
        </w:rPr>
        <w:t xml:space="preserve">2. Case characteristics: type of claim, jurisdictional origin and appellant status </w:t>
      </w:r>
    </w:p>
    <w:p w14:paraId="02FC641E" w14:textId="77777777" w:rsidR="00204055" w:rsidRPr="003403BC" w:rsidRDefault="00204055" w:rsidP="003403BC">
      <w:pPr>
        <w:spacing w:line="480" w:lineRule="auto"/>
        <w:jc w:val="both"/>
        <w:rPr>
          <w:rFonts w:ascii="Times New Roman" w:hAnsi="Times New Roman" w:cs="Times New Roman"/>
          <w:b/>
          <w:sz w:val="24"/>
          <w:szCs w:val="24"/>
        </w:rPr>
      </w:pPr>
      <w:r w:rsidRPr="003403BC">
        <w:rPr>
          <w:rFonts w:ascii="Times New Roman" w:hAnsi="Times New Roman" w:cs="Times New Roman"/>
          <w:sz w:val="24"/>
          <w:szCs w:val="24"/>
        </w:rPr>
        <w:t xml:space="preserve">In addition to the type of errors, case characteristics may affect case duration. One such characteristic is the type of claim raised for appeal. Figure 9 presents case duration when appeals claimed the lower court decision was arbitrary. Federal affront cases, those where arbitrariness was not claimed, have an average duration </w:t>
      </w:r>
      <w:r w:rsidRPr="003403BC">
        <w:rPr>
          <w:rFonts w:ascii="Times New Roman" w:hAnsi="Times New Roman" w:cs="Times New Roman"/>
          <w:sz w:val="24"/>
          <w:szCs w:val="24"/>
        </w:rPr>
        <w:lastRenderedPageBreak/>
        <w:t xml:space="preserve">of 305 days (13 days shorter than the overall mean case) while arbitrary decision cases take on average 325 days to be resolved (just 7 days over the mean). </w:t>
      </w:r>
    </w:p>
    <w:p w14:paraId="279994E9" w14:textId="77777777" w:rsidR="00204055" w:rsidRDefault="00204055" w:rsidP="003403BC">
      <w:pPr>
        <w:spacing w:line="480" w:lineRule="auto"/>
        <w:jc w:val="both"/>
        <w:rPr>
          <w:rFonts w:ascii="Times New Roman" w:hAnsi="Times New Roman" w:cs="Times New Roman"/>
          <w:b/>
          <w:sz w:val="24"/>
          <w:szCs w:val="24"/>
        </w:rPr>
      </w:pPr>
    </w:p>
    <w:p w14:paraId="49F28976" w14:textId="77777777" w:rsidR="00204055" w:rsidRPr="00623015" w:rsidRDefault="00204055" w:rsidP="00C25E97">
      <w:pPr>
        <w:spacing w:line="480" w:lineRule="auto"/>
        <w:jc w:val="both"/>
        <w:rPr>
          <w:rFonts w:ascii="Times New Roman" w:hAnsi="Times New Roman" w:cs="Times New Roman"/>
          <w:b/>
          <w:sz w:val="20"/>
          <w:szCs w:val="20"/>
        </w:rPr>
      </w:pPr>
      <w:r w:rsidRPr="00623015">
        <w:rPr>
          <w:rFonts w:ascii="Times New Roman" w:hAnsi="Times New Roman" w:cs="Times New Roman"/>
          <w:b/>
          <w:sz w:val="20"/>
          <w:szCs w:val="20"/>
        </w:rPr>
        <w:t>Figure 9: Case duration and claim type</w:t>
      </w:r>
    </w:p>
    <w:p w14:paraId="7890440A" w14:textId="77777777" w:rsidR="00204055" w:rsidRPr="003403BC" w:rsidRDefault="00204055" w:rsidP="00C25E97">
      <w:pPr>
        <w:spacing w:line="480" w:lineRule="auto"/>
        <w:jc w:val="both"/>
        <w:rPr>
          <w:rFonts w:ascii="Times New Roman" w:hAnsi="Times New Roman" w:cs="Times New Roman"/>
          <w:sz w:val="24"/>
          <w:szCs w:val="24"/>
        </w:rPr>
      </w:pPr>
      <w:r w:rsidRPr="003403BC">
        <w:rPr>
          <w:rFonts w:ascii="Times New Roman" w:hAnsi="Times New Roman" w:cs="Times New Roman"/>
          <w:noProof/>
          <w:sz w:val="24"/>
          <w:szCs w:val="24"/>
          <w:lang w:val="es-AR" w:eastAsia="es-AR"/>
        </w:rPr>
        <w:drawing>
          <wp:inline distT="0" distB="0" distL="0" distR="0" wp14:anchorId="2191681A" wp14:editId="625369E9">
            <wp:extent cx="3756025" cy="2476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 duration_ arbitrary claim vs non arbitrary.png"/>
                    <pic:cNvPicPr/>
                  </pic:nvPicPr>
                  <pic:blipFill>
                    <a:blip r:embed="rId17">
                      <a:extLst>
                        <a:ext uri="{28A0092B-C50C-407E-A947-70E740481C1C}">
                          <a14:useLocalDpi xmlns:a14="http://schemas.microsoft.com/office/drawing/2010/main" val="0"/>
                        </a:ext>
                      </a:extLst>
                    </a:blip>
                    <a:stretch>
                      <a:fillRect/>
                    </a:stretch>
                  </pic:blipFill>
                  <pic:spPr>
                    <a:xfrm>
                      <a:off x="0" y="0"/>
                      <a:ext cx="3753938" cy="2475124"/>
                    </a:xfrm>
                    <a:prstGeom prst="rect">
                      <a:avLst/>
                    </a:prstGeom>
                  </pic:spPr>
                </pic:pic>
              </a:graphicData>
            </a:graphic>
          </wp:inline>
        </w:drawing>
      </w:r>
    </w:p>
    <w:p w14:paraId="518F1B1C" w14:textId="77777777" w:rsidR="00204055" w:rsidRPr="003403BC" w:rsidRDefault="00204055" w:rsidP="003403BC">
      <w:pPr>
        <w:spacing w:line="480" w:lineRule="auto"/>
        <w:jc w:val="both"/>
        <w:rPr>
          <w:rFonts w:ascii="Times New Roman" w:hAnsi="Times New Roman" w:cs="Times New Roman"/>
          <w:sz w:val="24"/>
          <w:szCs w:val="24"/>
        </w:rPr>
      </w:pPr>
      <w:r w:rsidRPr="003403BC">
        <w:rPr>
          <w:rFonts w:ascii="Times New Roman" w:hAnsi="Times New Roman" w:cs="Times New Roman"/>
          <w:sz w:val="24"/>
          <w:szCs w:val="24"/>
        </w:rPr>
        <w:t>Several interviewees mentioned the importance of article 11’s exception to prevent unjust outcomes.</w:t>
      </w:r>
      <w:r w:rsidRPr="003403BC">
        <w:rPr>
          <w:rStyle w:val="EndnoteReference"/>
          <w:rFonts w:ascii="Times New Roman" w:hAnsi="Times New Roman" w:cs="Times New Roman"/>
          <w:sz w:val="24"/>
          <w:szCs w:val="24"/>
        </w:rPr>
        <w:endnoteReference w:id="35"/>
      </w:r>
      <w:r w:rsidRPr="003403BC">
        <w:rPr>
          <w:rFonts w:ascii="Times New Roman" w:hAnsi="Times New Roman" w:cs="Times New Roman"/>
          <w:sz w:val="24"/>
          <w:szCs w:val="24"/>
        </w:rPr>
        <w:t xml:space="preserve"> Whenever the appellants are individuals, we expected CSJN to respond by spending more time trying to establish whether the application of article 11 is necessary as a way to prevent structural differences among litigants from affecting case outcome. When only individuals appeal, case duration is slightly longer than average (6 days longer than the mean). The small difference in case duration observed suggests that CSJN pays little or no special attention to that subset of cases.</w:t>
      </w:r>
      <w:r w:rsidRPr="003403BC">
        <w:rPr>
          <w:rStyle w:val="EndnoteReference"/>
          <w:rFonts w:ascii="Times New Roman" w:hAnsi="Times New Roman" w:cs="Times New Roman"/>
          <w:sz w:val="24"/>
          <w:szCs w:val="24"/>
        </w:rPr>
        <w:endnoteReference w:id="36"/>
      </w:r>
      <w:r w:rsidRPr="003403BC">
        <w:rPr>
          <w:rFonts w:ascii="Times New Roman" w:hAnsi="Times New Roman" w:cs="Times New Roman"/>
          <w:sz w:val="24"/>
          <w:szCs w:val="24"/>
        </w:rPr>
        <w:t xml:space="preserve"> </w:t>
      </w:r>
    </w:p>
    <w:p w14:paraId="7A0FD52A" w14:textId="77777777" w:rsidR="00204055" w:rsidRPr="003403BC" w:rsidRDefault="00204055" w:rsidP="003403BC">
      <w:pPr>
        <w:spacing w:line="480" w:lineRule="auto"/>
        <w:jc w:val="both"/>
        <w:rPr>
          <w:rFonts w:ascii="Times New Roman" w:hAnsi="Times New Roman" w:cs="Times New Roman"/>
          <w:sz w:val="24"/>
          <w:szCs w:val="24"/>
        </w:rPr>
      </w:pPr>
      <w:r w:rsidRPr="003403BC">
        <w:rPr>
          <w:rFonts w:ascii="Times New Roman" w:hAnsi="Times New Roman" w:cs="Times New Roman"/>
          <w:sz w:val="24"/>
          <w:szCs w:val="24"/>
        </w:rPr>
        <w:lastRenderedPageBreak/>
        <w:t xml:space="preserve">The previous conclusion remains even after modifying appellant specification and considering cases with and without individuals as appellants. The average duration of cases with individual appellants drops to an average of 314 days while the average duration of cases without individual appellants increases to 339 days. Furthermore, when the state is the appellant CSJN averages 353 days (35 days above the mean) to reject a case. </w:t>
      </w:r>
    </w:p>
    <w:p w14:paraId="4C719DD9" w14:textId="77777777" w:rsidR="00204055" w:rsidRPr="003403BC" w:rsidRDefault="00204055" w:rsidP="003403BC">
      <w:pPr>
        <w:spacing w:line="480" w:lineRule="auto"/>
        <w:jc w:val="both"/>
        <w:rPr>
          <w:rFonts w:ascii="Times New Roman" w:hAnsi="Times New Roman" w:cs="Times New Roman"/>
          <w:sz w:val="24"/>
          <w:szCs w:val="24"/>
        </w:rPr>
      </w:pPr>
      <w:r w:rsidRPr="003403BC">
        <w:rPr>
          <w:rFonts w:ascii="Times New Roman" w:hAnsi="Times New Roman" w:cs="Times New Roman"/>
          <w:i/>
          <w:sz w:val="24"/>
          <w:szCs w:val="24"/>
        </w:rPr>
        <w:t>3. CSJN’s internal organization</w:t>
      </w:r>
    </w:p>
    <w:p w14:paraId="3DC175C2" w14:textId="75DB13E9" w:rsidR="00204055" w:rsidRPr="003403BC" w:rsidRDefault="00204055" w:rsidP="003403BC">
      <w:pPr>
        <w:spacing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CSJN’s internal </w:t>
      </w:r>
      <w:r>
        <w:rPr>
          <w:rFonts w:ascii="Times New Roman" w:hAnsi="Times New Roman" w:cs="Times New Roman"/>
          <w:sz w:val="24"/>
          <w:szCs w:val="24"/>
        </w:rPr>
        <w:t>division of “thematic” JDs</w:t>
      </w:r>
      <w:r w:rsidRPr="003403BC">
        <w:rPr>
          <w:rFonts w:ascii="Times New Roman" w:hAnsi="Times New Roman" w:cs="Times New Roman"/>
          <w:sz w:val="24"/>
          <w:szCs w:val="24"/>
        </w:rPr>
        <w:t xml:space="preserve"> may affect case duration. </w:t>
      </w:r>
      <w:r>
        <w:rPr>
          <w:rFonts w:ascii="Times New Roman" w:hAnsi="Times New Roman" w:cs="Times New Roman"/>
          <w:sz w:val="24"/>
          <w:szCs w:val="24"/>
        </w:rPr>
        <w:t xml:space="preserve">For one, each JD has significant procedural discretion in terms of handling cases internally and organizing its work, before they are distributed to the Justices. Furthermore, each one deals with specific areas of the law which has significant impact on the number of cases they receive. </w:t>
      </w:r>
      <w:r w:rsidRPr="003403BC">
        <w:rPr>
          <w:rFonts w:ascii="Times New Roman" w:hAnsi="Times New Roman" w:cs="Times New Roman"/>
          <w:sz w:val="24"/>
          <w:szCs w:val="24"/>
        </w:rPr>
        <w:t xml:space="preserve">In addition to being the area with the highest number of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opinions, Labor Law cases take the longest to be resolved with an average duration of 418 days (100 days slower than the mean). At the other end of the spectrum, Tax Law cases are rejected in only 137 days on average (a staggering 183 days faster than the mean case). </w:t>
      </w:r>
    </w:p>
    <w:p w14:paraId="41CF6AD8" w14:textId="77777777" w:rsidR="00204055" w:rsidRDefault="00204055" w:rsidP="003403BC">
      <w:pPr>
        <w:spacing w:line="480" w:lineRule="auto"/>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204055" w:rsidRPr="003403BC" w14:paraId="12C18815" w14:textId="77777777" w:rsidTr="000D1E0B">
        <w:tc>
          <w:tcPr>
            <w:tcW w:w="9350" w:type="dxa"/>
          </w:tcPr>
          <w:p w14:paraId="4D42B25D" w14:textId="77777777" w:rsidR="00204055" w:rsidRPr="00623015" w:rsidRDefault="00204055" w:rsidP="000D1E0B">
            <w:pPr>
              <w:spacing w:line="480" w:lineRule="auto"/>
              <w:rPr>
                <w:rFonts w:ascii="Times New Roman" w:hAnsi="Times New Roman" w:cs="Times New Roman"/>
                <w:b/>
                <w:sz w:val="20"/>
                <w:szCs w:val="20"/>
              </w:rPr>
            </w:pPr>
            <w:r w:rsidRPr="00623015">
              <w:rPr>
                <w:rFonts w:ascii="Times New Roman" w:hAnsi="Times New Roman" w:cs="Times New Roman"/>
                <w:b/>
                <w:sz w:val="20"/>
                <w:szCs w:val="20"/>
              </w:rPr>
              <w:t>Figure 10: Duration by case subject area</w:t>
            </w:r>
          </w:p>
        </w:tc>
      </w:tr>
      <w:tr w:rsidR="00204055" w:rsidRPr="003403BC" w14:paraId="5F8C61A6" w14:textId="77777777" w:rsidTr="000D1E0B">
        <w:tc>
          <w:tcPr>
            <w:tcW w:w="9350" w:type="dxa"/>
          </w:tcPr>
          <w:p w14:paraId="258E4F7E" w14:textId="77777777" w:rsidR="00204055" w:rsidRPr="003403BC" w:rsidRDefault="00204055" w:rsidP="000D1E0B">
            <w:pPr>
              <w:spacing w:line="480" w:lineRule="auto"/>
              <w:rPr>
                <w:rFonts w:ascii="Times New Roman" w:hAnsi="Times New Roman" w:cs="Times New Roman"/>
                <w:sz w:val="24"/>
                <w:szCs w:val="24"/>
              </w:rPr>
            </w:pPr>
            <w:r w:rsidRPr="003403BC">
              <w:rPr>
                <w:rFonts w:ascii="Times New Roman" w:hAnsi="Times New Roman" w:cs="Times New Roman"/>
                <w:noProof/>
                <w:sz w:val="24"/>
                <w:szCs w:val="24"/>
                <w:lang w:val="es-AR" w:eastAsia="es-AR"/>
              </w:rPr>
              <w:lastRenderedPageBreak/>
              <w:drawing>
                <wp:inline distT="0" distB="0" distL="0" distR="0" wp14:anchorId="3512FFE3" wp14:editId="34EF850D">
                  <wp:extent cx="4867416" cy="3562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4033" cy="3567193"/>
                          </a:xfrm>
                          <a:prstGeom prst="rect">
                            <a:avLst/>
                          </a:prstGeom>
                          <a:noFill/>
                          <a:ln>
                            <a:noFill/>
                          </a:ln>
                        </pic:spPr>
                      </pic:pic>
                    </a:graphicData>
                  </a:graphic>
                </wp:inline>
              </w:drawing>
            </w:r>
          </w:p>
        </w:tc>
      </w:tr>
    </w:tbl>
    <w:p w14:paraId="278B0515" w14:textId="77777777" w:rsidR="00204055" w:rsidRPr="003403BC" w:rsidRDefault="00204055" w:rsidP="003403BC">
      <w:pPr>
        <w:spacing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In order to explore the differences in case duration given each underlying subject matter, we looked at the different workloads of each JD. As it was mentioned in section II, each case is assigned to a specialized JD for preliminary drafting. Based on our subject matter coding, we assigned cases to the specialized JD we expected to handle them. Table </w:t>
      </w:r>
      <w:r>
        <w:rPr>
          <w:rFonts w:ascii="Times New Roman" w:hAnsi="Times New Roman" w:cs="Times New Roman"/>
          <w:sz w:val="24"/>
          <w:szCs w:val="24"/>
        </w:rPr>
        <w:t>A-1</w:t>
      </w:r>
      <w:r w:rsidRPr="003403BC">
        <w:rPr>
          <w:rFonts w:ascii="Times New Roman" w:hAnsi="Times New Roman" w:cs="Times New Roman"/>
          <w:sz w:val="24"/>
          <w:szCs w:val="24"/>
        </w:rPr>
        <w:t xml:space="preserve"> in the Annex shows these results.</w:t>
      </w:r>
    </w:p>
    <w:p w14:paraId="1B4EC010" w14:textId="77777777" w:rsidR="00204055" w:rsidRPr="003403BC" w:rsidRDefault="00204055" w:rsidP="003403BC">
      <w:pPr>
        <w:spacing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Table </w:t>
      </w:r>
      <w:r>
        <w:rPr>
          <w:rFonts w:ascii="Times New Roman" w:hAnsi="Times New Roman" w:cs="Times New Roman"/>
          <w:sz w:val="24"/>
          <w:szCs w:val="24"/>
        </w:rPr>
        <w:t>2</w:t>
      </w:r>
      <w:r w:rsidRPr="003403BC">
        <w:rPr>
          <w:rFonts w:ascii="Times New Roman" w:hAnsi="Times New Roman" w:cs="Times New Roman"/>
          <w:sz w:val="24"/>
          <w:szCs w:val="24"/>
        </w:rPr>
        <w:t xml:space="preserve"> reports the data on the amount of cases decided with the involvement of each JD in 2012, excluding Pension Law cases.</w:t>
      </w:r>
      <w:r w:rsidRPr="003403BC">
        <w:rPr>
          <w:rStyle w:val="EndnoteReference"/>
          <w:rFonts w:ascii="Times New Roman" w:hAnsi="Times New Roman" w:cs="Times New Roman"/>
          <w:sz w:val="24"/>
          <w:szCs w:val="24"/>
        </w:rPr>
        <w:endnoteReference w:id="37"/>
      </w:r>
      <w:r w:rsidRPr="003403BC">
        <w:rPr>
          <w:rFonts w:ascii="Times New Roman" w:hAnsi="Times New Roman" w:cs="Times New Roman"/>
          <w:sz w:val="24"/>
          <w:szCs w:val="24"/>
        </w:rPr>
        <w:t xml:space="preserve"> In addition, it reports the number of cases decided according to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with the involvement of each JD and the total number of law clerks working in each JD.</w:t>
      </w:r>
      <w:r w:rsidRPr="003403BC">
        <w:rPr>
          <w:rStyle w:val="EndnoteReference"/>
          <w:rFonts w:ascii="Times New Roman" w:hAnsi="Times New Roman" w:cs="Times New Roman"/>
          <w:sz w:val="24"/>
          <w:szCs w:val="24"/>
        </w:rPr>
        <w:endnoteReference w:id="38"/>
      </w:r>
      <w:r w:rsidRPr="003403BC">
        <w:rPr>
          <w:rFonts w:ascii="Times New Roman" w:hAnsi="Times New Roman" w:cs="Times New Roman"/>
          <w:sz w:val="24"/>
          <w:szCs w:val="24"/>
        </w:rPr>
        <w:t xml:space="preserve"> Based on the information provided by CSJN’s website, JD N° 6 –in charge of Labor Law </w:t>
      </w:r>
      <w:r w:rsidRPr="003403BC">
        <w:rPr>
          <w:rFonts w:ascii="Times New Roman" w:hAnsi="Times New Roman" w:cs="Times New Roman"/>
          <w:sz w:val="24"/>
          <w:szCs w:val="24"/>
        </w:rPr>
        <w:lastRenderedPageBreak/>
        <w:t>appeals- has a total of 9 law clerks, a figure that is just above the mean. The average number of cases each law clerk had to handle in JD N° 6 (relative to the total number of Labor Law opinions issued in 2012) was 142 for 2012.</w:t>
      </w:r>
      <w:r w:rsidRPr="003403BC">
        <w:rPr>
          <w:rStyle w:val="EndnoteReference"/>
          <w:rFonts w:ascii="Times New Roman" w:hAnsi="Times New Roman" w:cs="Times New Roman"/>
          <w:sz w:val="24"/>
          <w:szCs w:val="24"/>
        </w:rPr>
        <w:endnoteReference w:id="39"/>
      </w:r>
      <w:r w:rsidRPr="003403BC">
        <w:rPr>
          <w:rFonts w:ascii="Times New Roman" w:hAnsi="Times New Roman" w:cs="Times New Roman"/>
          <w:sz w:val="24"/>
          <w:szCs w:val="24"/>
        </w:rPr>
        <w:t xml:space="preserve"> This is 21 cases (13</w:t>
      </w:r>
      <w:r>
        <w:rPr>
          <w:rFonts w:ascii="Times New Roman" w:hAnsi="Times New Roman" w:cs="Times New Roman"/>
          <w:sz w:val="24"/>
          <w:szCs w:val="24"/>
        </w:rPr>
        <w:t xml:space="preserve"> percent</w:t>
      </w:r>
      <w:r w:rsidRPr="003403BC">
        <w:rPr>
          <w:rFonts w:ascii="Times New Roman" w:hAnsi="Times New Roman" w:cs="Times New Roman"/>
          <w:sz w:val="24"/>
          <w:szCs w:val="24"/>
        </w:rPr>
        <w:t>) less on average than the mean amount per specialized JD and 62 cases less (38</w:t>
      </w:r>
      <w:r>
        <w:rPr>
          <w:rFonts w:ascii="Times New Roman" w:hAnsi="Times New Roman" w:cs="Times New Roman"/>
          <w:sz w:val="24"/>
          <w:szCs w:val="24"/>
        </w:rPr>
        <w:t xml:space="preserve"> percent</w:t>
      </w:r>
      <w:r w:rsidRPr="003403BC">
        <w:rPr>
          <w:rFonts w:ascii="Times New Roman" w:hAnsi="Times New Roman" w:cs="Times New Roman"/>
          <w:sz w:val="24"/>
          <w:szCs w:val="24"/>
        </w:rPr>
        <w:t xml:space="preserve">) on average than the amount each JD N° 3 clerk had to handle (this is especially noticeable given that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criminal cases are on average 120 days shorter than Labor Law ones). These results are robust to changes in our comparison frame.</w:t>
      </w:r>
      <w:r w:rsidRPr="003403BC">
        <w:rPr>
          <w:rStyle w:val="EndnoteReference"/>
          <w:rFonts w:ascii="Times New Roman" w:hAnsi="Times New Roman" w:cs="Times New Roman"/>
          <w:sz w:val="24"/>
          <w:szCs w:val="24"/>
        </w:rPr>
        <w:t xml:space="preserve"> </w:t>
      </w:r>
      <w:r w:rsidRPr="003403BC">
        <w:rPr>
          <w:rStyle w:val="EndnoteReference"/>
          <w:rFonts w:ascii="Times New Roman" w:hAnsi="Times New Roman" w:cs="Times New Roman"/>
          <w:sz w:val="24"/>
          <w:szCs w:val="24"/>
        </w:rPr>
        <w:endnoteReference w:id="40"/>
      </w:r>
      <w:r w:rsidRPr="003403BC">
        <w:rPr>
          <w:rFonts w:ascii="Times New Roman" w:hAnsi="Times New Roman" w:cs="Times New Roman"/>
          <w:sz w:val="24"/>
          <w:szCs w:val="24"/>
        </w:rPr>
        <w:t xml:space="preserve"> </w:t>
      </w:r>
    </w:p>
    <w:p w14:paraId="372AD997" w14:textId="77777777" w:rsidR="00204055" w:rsidRDefault="00204055" w:rsidP="003403BC">
      <w:pPr>
        <w:spacing w:line="480" w:lineRule="auto"/>
        <w:jc w:val="both"/>
        <w:rPr>
          <w:rFonts w:ascii="Times New Roman" w:hAnsi="Times New Roman" w:cs="Times New Roman"/>
          <w:b/>
          <w:sz w:val="24"/>
          <w:szCs w:val="24"/>
        </w:rPr>
      </w:pPr>
    </w:p>
    <w:p w14:paraId="01EA3D0B" w14:textId="77777777" w:rsidR="00204055" w:rsidRPr="00623015" w:rsidRDefault="00204055" w:rsidP="00C25E97">
      <w:pPr>
        <w:spacing w:line="480" w:lineRule="auto"/>
        <w:rPr>
          <w:rFonts w:ascii="Times New Roman" w:hAnsi="Times New Roman" w:cs="Times New Roman"/>
          <w:b/>
          <w:sz w:val="20"/>
          <w:szCs w:val="20"/>
        </w:rPr>
      </w:pPr>
      <w:r w:rsidRPr="00623015">
        <w:rPr>
          <w:rFonts w:ascii="Times New Roman" w:hAnsi="Times New Roman" w:cs="Times New Roman"/>
          <w:b/>
          <w:sz w:val="20"/>
          <w:szCs w:val="20"/>
        </w:rPr>
        <w:t>Table 2: Workload by judicial department</w:t>
      </w:r>
    </w:p>
    <w:tbl>
      <w:tblPr>
        <w:tblStyle w:val="GridTable5Dark"/>
        <w:tblW w:w="5000" w:type="pct"/>
        <w:tblLook w:val="0420" w:firstRow="1" w:lastRow="0" w:firstColumn="0" w:lastColumn="0" w:noHBand="0" w:noVBand="1"/>
      </w:tblPr>
      <w:tblGrid>
        <w:gridCol w:w="1387"/>
        <w:gridCol w:w="1545"/>
        <w:gridCol w:w="1221"/>
        <w:gridCol w:w="1788"/>
        <w:gridCol w:w="2195"/>
      </w:tblGrid>
      <w:tr w:rsidR="00204055" w:rsidRPr="003403BC" w14:paraId="3AFC84A2" w14:textId="77777777" w:rsidTr="000D1E0B">
        <w:trPr>
          <w:cnfStyle w:val="100000000000" w:firstRow="1" w:lastRow="0" w:firstColumn="0" w:lastColumn="0" w:oddVBand="0" w:evenVBand="0" w:oddHBand="0" w:evenHBand="0" w:firstRowFirstColumn="0" w:firstRowLastColumn="0" w:lastRowFirstColumn="0" w:lastRowLastColumn="0"/>
          <w:trHeight w:val="20"/>
        </w:trPr>
        <w:tc>
          <w:tcPr>
            <w:tcW w:w="852" w:type="pct"/>
            <w:hideMark/>
          </w:tcPr>
          <w:p w14:paraId="1234718B" w14:textId="77777777" w:rsidR="00204055" w:rsidRPr="00623015" w:rsidRDefault="00204055" w:rsidP="000D1E0B">
            <w:pPr>
              <w:spacing w:line="480" w:lineRule="auto"/>
              <w:jc w:val="center"/>
              <w:rPr>
                <w:rFonts w:ascii="Times New Roman" w:eastAsia="Times New Roman" w:hAnsi="Times New Roman" w:cs="Times New Roman"/>
                <w:b w:val="0"/>
                <w:bCs w:val="0"/>
                <w:color w:val="FFFFFF"/>
                <w:sz w:val="18"/>
                <w:szCs w:val="18"/>
                <w:lang w:val="es-AR" w:eastAsia="es-AR"/>
              </w:rPr>
            </w:pPr>
            <w:r w:rsidRPr="00623015">
              <w:rPr>
                <w:rFonts w:ascii="Times New Roman" w:eastAsia="Times New Roman" w:hAnsi="Times New Roman" w:cs="Times New Roman"/>
                <w:b w:val="0"/>
                <w:bCs w:val="0"/>
                <w:color w:val="FFFFFF"/>
                <w:sz w:val="18"/>
                <w:szCs w:val="18"/>
                <w:lang w:val="es-AR" w:eastAsia="es-AR"/>
              </w:rPr>
              <w:t>Judicial Department</w:t>
            </w:r>
          </w:p>
        </w:tc>
        <w:tc>
          <w:tcPr>
            <w:tcW w:w="949" w:type="pct"/>
            <w:hideMark/>
          </w:tcPr>
          <w:p w14:paraId="00F48ADD" w14:textId="77777777" w:rsidR="00204055" w:rsidRPr="00623015" w:rsidRDefault="00204055" w:rsidP="000D1E0B">
            <w:pPr>
              <w:spacing w:line="480" w:lineRule="auto"/>
              <w:jc w:val="center"/>
              <w:rPr>
                <w:rFonts w:ascii="Times New Roman" w:eastAsia="Times New Roman" w:hAnsi="Times New Roman" w:cs="Times New Roman"/>
                <w:b w:val="0"/>
                <w:bCs w:val="0"/>
                <w:color w:val="FFFFFF"/>
                <w:sz w:val="18"/>
                <w:szCs w:val="18"/>
                <w:lang w:eastAsia="es-AR"/>
              </w:rPr>
            </w:pPr>
            <w:r w:rsidRPr="00623015">
              <w:rPr>
                <w:rFonts w:ascii="Times New Roman" w:eastAsia="Times New Roman" w:hAnsi="Times New Roman" w:cs="Times New Roman"/>
                <w:b w:val="0"/>
                <w:bCs w:val="0"/>
                <w:color w:val="FFFFFF"/>
                <w:sz w:val="18"/>
                <w:szCs w:val="18"/>
                <w:lang w:eastAsia="es-AR"/>
              </w:rPr>
              <w:t xml:space="preserve"># of cases decided by </w:t>
            </w:r>
            <w:proofErr w:type="spellStart"/>
            <w:r w:rsidRPr="00623015">
              <w:rPr>
                <w:rFonts w:ascii="Times New Roman" w:eastAsia="Times New Roman" w:hAnsi="Times New Roman" w:cs="Times New Roman"/>
                <w:b w:val="0"/>
                <w:bCs w:val="0"/>
                <w:i/>
                <w:color w:val="FFFFFF"/>
                <w:sz w:val="18"/>
                <w:szCs w:val="18"/>
                <w:lang w:eastAsia="es-AR"/>
              </w:rPr>
              <w:t>Acordada</w:t>
            </w:r>
            <w:proofErr w:type="spellEnd"/>
          </w:p>
        </w:tc>
        <w:tc>
          <w:tcPr>
            <w:tcW w:w="750" w:type="pct"/>
            <w:hideMark/>
          </w:tcPr>
          <w:p w14:paraId="407FEE97" w14:textId="77777777" w:rsidR="00204055" w:rsidRPr="00623015" w:rsidRDefault="00204055" w:rsidP="000D1E0B">
            <w:pPr>
              <w:spacing w:line="480" w:lineRule="auto"/>
              <w:jc w:val="center"/>
              <w:rPr>
                <w:rFonts w:ascii="Times New Roman" w:eastAsia="Times New Roman" w:hAnsi="Times New Roman" w:cs="Times New Roman"/>
                <w:b w:val="0"/>
                <w:bCs w:val="0"/>
                <w:color w:val="FFFFFF"/>
                <w:sz w:val="18"/>
                <w:szCs w:val="18"/>
                <w:lang w:eastAsia="es-AR"/>
              </w:rPr>
            </w:pPr>
            <w:r w:rsidRPr="00623015">
              <w:rPr>
                <w:rFonts w:ascii="Times New Roman" w:eastAsia="Times New Roman" w:hAnsi="Times New Roman" w:cs="Times New Roman"/>
                <w:b w:val="0"/>
                <w:bCs w:val="0"/>
                <w:color w:val="FFFFFF"/>
                <w:sz w:val="18"/>
                <w:szCs w:val="18"/>
                <w:lang w:eastAsia="es-AR"/>
              </w:rPr>
              <w:t># of Opinions issued in '12</w:t>
            </w:r>
          </w:p>
        </w:tc>
        <w:tc>
          <w:tcPr>
            <w:tcW w:w="1099" w:type="pct"/>
            <w:hideMark/>
          </w:tcPr>
          <w:p w14:paraId="06F0FA71" w14:textId="77777777" w:rsidR="00204055" w:rsidRPr="00623015" w:rsidRDefault="00204055" w:rsidP="000D1E0B">
            <w:pPr>
              <w:spacing w:line="480" w:lineRule="auto"/>
              <w:jc w:val="center"/>
              <w:rPr>
                <w:rFonts w:ascii="Times New Roman" w:eastAsia="Times New Roman" w:hAnsi="Times New Roman" w:cs="Times New Roman"/>
                <w:b w:val="0"/>
                <w:bCs w:val="0"/>
                <w:color w:val="FFFFFF"/>
                <w:sz w:val="18"/>
                <w:szCs w:val="18"/>
                <w:lang w:eastAsia="es-AR"/>
              </w:rPr>
            </w:pPr>
            <w:r w:rsidRPr="00623015">
              <w:rPr>
                <w:rFonts w:ascii="Times New Roman" w:eastAsia="Times New Roman" w:hAnsi="Times New Roman" w:cs="Times New Roman"/>
                <w:b w:val="0"/>
                <w:bCs w:val="0"/>
                <w:color w:val="FFFFFF"/>
                <w:sz w:val="18"/>
                <w:szCs w:val="18"/>
                <w:lang w:eastAsia="es-AR"/>
              </w:rPr>
              <w:t>Total # of clerks by Judicial Department</w:t>
            </w:r>
          </w:p>
        </w:tc>
        <w:tc>
          <w:tcPr>
            <w:tcW w:w="1349" w:type="pct"/>
            <w:hideMark/>
          </w:tcPr>
          <w:p w14:paraId="65C468FC" w14:textId="77777777" w:rsidR="00204055" w:rsidRPr="00623015" w:rsidRDefault="00204055" w:rsidP="000D1E0B">
            <w:pPr>
              <w:spacing w:line="480" w:lineRule="auto"/>
              <w:jc w:val="center"/>
              <w:rPr>
                <w:rFonts w:ascii="Times New Roman" w:eastAsia="Times New Roman" w:hAnsi="Times New Roman" w:cs="Times New Roman"/>
                <w:b w:val="0"/>
                <w:bCs w:val="0"/>
                <w:color w:val="FFFFFF"/>
                <w:sz w:val="18"/>
                <w:szCs w:val="18"/>
                <w:lang w:eastAsia="es-AR"/>
              </w:rPr>
            </w:pPr>
            <w:r w:rsidRPr="00623015">
              <w:rPr>
                <w:rFonts w:ascii="Times New Roman" w:eastAsia="Times New Roman" w:hAnsi="Times New Roman" w:cs="Times New Roman"/>
                <w:b w:val="0"/>
                <w:bCs w:val="0"/>
                <w:color w:val="FFFFFF"/>
                <w:sz w:val="18"/>
                <w:szCs w:val="18"/>
                <w:lang w:eastAsia="es-AR"/>
              </w:rPr>
              <w:t># of opinions issued in 2012 per clerk</w:t>
            </w:r>
          </w:p>
        </w:tc>
      </w:tr>
      <w:tr w:rsidR="00204055" w:rsidRPr="003403BC" w14:paraId="0E155F53" w14:textId="77777777" w:rsidTr="000D1E0B">
        <w:trPr>
          <w:cnfStyle w:val="000000100000" w:firstRow="0" w:lastRow="0" w:firstColumn="0" w:lastColumn="0" w:oddVBand="0" w:evenVBand="0" w:oddHBand="1" w:evenHBand="0" w:firstRowFirstColumn="0" w:firstRowLastColumn="0" w:lastRowFirstColumn="0" w:lastRowLastColumn="0"/>
          <w:trHeight w:val="20"/>
        </w:trPr>
        <w:tc>
          <w:tcPr>
            <w:tcW w:w="852" w:type="pct"/>
            <w:noWrap/>
            <w:hideMark/>
          </w:tcPr>
          <w:p w14:paraId="047902B6" w14:textId="77777777" w:rsidR="00204055" w:rsidRPr="00623015" w:rsidRDefault="00204055" w:rsidP="000D1E0B">
            <w:pPr>
              <w:spacing w:line="480" w:lineRule="auto"/>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 xml:space="preserve">JD </w:t>
            </w:r>
            <w:r w:rsidRPr="00623015">
              <w:rPr>
                <w:rFonts w:ascii="Times New Roman" w:hAnsi="Times New Roman" w:cs="Times New Roman"/>
                <w:sz w:val="18"/>
                <w:szCs w:val="18"/>
              </w:rPr>
              <w:t>N°</w:t>
            </w:r>
            <w:r w:rsidRPr="00623015">
              <w:rPr>
                <w:rFonts w:ascii="Times New Roman" w:eastAsia="Times New Roman" w:hAnsi="Times New Roman" w:cs="Times New Roman"/>
                <w:color w:val="000000"/>
                <w:sz w:val="18"/>
                <w:szCs w:val="18"/>
                <w:lang w:val="es-AR" w:eastAsia="es-AR"/>
              </w:rPr>
              <w:t xml:space="preserve"> 1</w:t>
            </w:r>
          </w:p>
        </w:tc>
        <w:tc>
          <w:tcPr>
            <w:tcW w:w="949" w:type="pct"/>
            <w:noWrap/>
            <w:hideMark/>
          </w:tcPr>
          <w:p w14:paraId="3169BB03"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57</w:t>
            </w:r>
          </w:p>
        </w:tc>
        <w:tc>
          <w:tcPr>
            <w:tcW w:w="750" w:type="pct"/>
            <w:noWrap/>
            <w:hideMark/>
          </w:tcPr>
          <w:p w14:paraId="40383316"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955</w:t>
            </w:r>
          </w:p>
        </w:tc>
        <w:tc>
          <w:tcPr>
            <w:tcW w:w="1099" w:type="pct"/>
            <w:noWrap/>
            <w:hideMark/>
          </w:tcPr>
          <w:p w14:paraId="470CBA65"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5</w:t>
            </w:r>
          </w:p>
        </w:tc>
        <w:tc>
          <w:tcPr>
            <w:tcW w:w="1349" w:type="pct"/>
            <w:noWrap/>
            <w:hideMark/>
          </w:tcPr>
          <w:p w14:paraId="4E5781A4"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191</w:t>
            </w:r>
          </w:p>
        </w:tc>
      </w:tr>
      <w:tr w:rsidR="00204055" w:rsidRPr="003403BC" w14:paraId="6992A7DC" w14:textId="77777777" w:rsidTr="000D1E0B">
        <w:trPr>
          <w:trHeight w:val="20"/>
        </w:trPr>
        <w:tc>
          <w:tcPr>
            <w:tcW w:w="852" w:type="pct"/>
            <w:noWrap/>
            <w:hideMark/>
          </w:tcPr>
          <w:p w14:paraId="64F6B876" w14:textId="77777777" w:rsidR="00204055" w:rsidRPr="00623015" w:rsidRDefault="00204055" w:rsidP="000D1E0B">
            <w:pPr>
              <w:spacing w:line="480" w:lineRule="auto"/>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 xml:space="preserve">JD </w:t>
            </w:r>
            <w:r w:rsidRPr="00623015">
              <w:rPr>
                <w:rFonts w:ascii="Times New Roman" w:hAnsi="Times New Roman" w:cs="Times New Roman"/>
                <w:sz w:val="18"/>
                <w:szCs w:val="18"/>
              </w:rPr>
              <w:t>N°</w:t>
            </w:r>
            <w:r w:rsidRPr="00623015">
              <w:rPr>
                <w:rFonts w:ascii="Times New Roman" w:eastAsia="Times New Roman" w:hAnsi="Times New Roman" w:cs="Times New Roman"/>
                <w:color w:val="000000"/>
                <w:sz w:val="18"/>
                <w:szCs w:val="18"/>
                <w:lang w:val="es-AR" w:eastAsia="es-AR"/>
              </w:rPr>
              <w:t xml:space="preserve"> 2</w:t>
            </w:r>
          </w:p>
        </w:tc>
        <w:tc>
          <w:tcPr>
            <w:tcW w:w="949" w:type="pct"/>
            <w:noWrap/>
            <w:hideMark/>
          </w:tcPr>
          <w:p w14:paraId="680F6161"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121</w:t>
            </w:r>
          </w:p>
        </w:tc>
        <w:tc>
          <w:tcPr>
            <w:tcW w:w="750" w:type="pct"/>
            <w:noWrap/>
            <w:hideMark/>
          </w:tcPr>
          <w:p w14:paraId="3117B043"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1,026</w:t>
            </w:r>
          </w:p>
        </w:tc>
        <w:tc>
          <w:tcPr>
            <w:tcW w:w="1099" w:type="pct"/>
            <w:noWrap/>
            <w:hideMark/>
          </w:tcPr>
          <w:p w14:paraId="74D1D500"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12</w:t>
            </w:r>
          </w:p>
        </w:tc>
        <w:tc>
          <w:tcPr>
            <w:tcW w:w="1349" w:type="pct"/>
            <w:noWrap/>
            <w:hideMark/>
          </w:tcPr>
          <w:p w14:paraId="30E558F6"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86</w:t>
            </w:r>
          </w:p>
        </w:tc>
      </w:tr>
      <w:tr w:rsidR="00204055" w:rsidRPr="003403BC" w14:paraId="4E18A549" w14:textId="77777777" w:rsidTr="000D1E0B">
        <w:trPr>
          <w:cnfStyle w:val="000000100000" w:firstRow="0" w:lastRow="0" w:firstColumn="0" w:lastColumn="0" w:oddVBand="0" w:evenVBand="0" w:oddHBand="1" w:evenHBand="0" w:firstRowFirstColumn="0" w:firstRowLastColumn="0" w:lastRowFirstColumn="0" w:lastRowLastColumn="0"/>
          <w:trHeight w:val="20"/>
        </w:trPr>
        <w:tc>
          <w:tcPr>
            <w:tcW w:w="852" w:type="pct"/>
            <w:noWrap/>
            <w:hideMark/>
          </w:tcPr>
          <w:p w14:paraId="3A3EA29A" w14:textId="77777777" w:rsidR="00204055" w:rsidRPr="00623015" w:rsidRDefault="00204055" w:rsidP="000D1E0B">
            <w:pPr>
              <w:spacing w:line="480" w:lineRule="auto"/>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 xml:space="preserve">JD </w:t>
            </w:r>
            <w:r w:rsidRPr="00623015">
              <w:rPr>
                <w:rFonts w:ascii="Times New Roman" w:hAnsi="Times New Roman" w:cs="Times New Roman"/>
                <w:sz w:val="18"/>
                <w:szCs w:val="18"/>
              </w:rPr>
              <w:t>N°</w:t>
            </w:r>
            <w:r w:rsidRPr="00623015">
              <w:rPr>
                <w:rFonts w:ascii="Times New Roman" w:eastAsia="Times New Roman" w:hAnsi="Times New Roman" w:cs="Times New Roman"/>
                <w:color w:val="000000"/>
                <w:sz w:val="18"/>
                <w:szCs w:val="18"/>
                <w:lang w:val="es-AR" w:eastAsia="es-AR"/>
              </w:rPr>
              <w:t xml:space="preserve"> 3</w:t>
            </w:r>
          </w:p>
        </w:tc>
        <w:tc>
          <w:tcPr>
            <w:tcW w:w="949" w:type="pct"/>
            <w:noWrap/>
            <w:hideMark/>
          </w:tcPr>
          <w:p w14:paraId="0FF0B535"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116</w:t>
            </w:r>
          </w:p>
        </w:tc>
        <w:tc>
          <w:tcPr>
            <w:tcW w:w="750" w:type="pct"/>
            <w:noWrap/>
            <w:hideMark/>
          </w:tcPr>
          <w:p w14:paraId="20645BC4"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1,857</w:t>
            </w:r>
          </w:p>
        </w:tc>
        <w:tc>
          <w:tcPr>
            <w:tcW w:w="1099" w:type="pct"/>
            <w:noWrap/>
            <w:hideMark/>
          </w:tcPr>
          <w:p w14:paraId="452139CE"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9</w:t>
            </w:r>
          </w:p>
        </w:tc>
        <w:tc>
          <w:tcPr>
            <w:tcW w:w="1349" w:type="pct"/>
            <w:noWrap/>
            <w:hideMark/>
          </w:tcPr>
          <w:p w14:paraId="26B3783E"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206</w:t>
            </w:r>
          </w:p>
        </w:tc>
      </w:tr>
      <w:tr w:rsidR="00204055" w:rsidRPr="003403BC" w14:paraId="48A2CDC1" w14:textId="77777777" w:rsidTr="000D1E0B">
        <w:trPr>
          <w:trHeight w:val="20"/>
        </w:trPr>
        <w:tc>
          <w:tcPr>
            <w:tcW w:w="852" w:type="pct"/>
            <w:noWrap/>
            <w:hideMark/>
          </w:tcPr>
          <w:p w14:paraId="2289B54B" w14:textId="77777777" w:rsidR="00204055" w:rsidRPr="00623015" w:rsidRDefault="00204055" w:rsidP="000D1E0B">
            <w:pPr>
              <w:spacing w:line="480" w:lineRule="auto"/>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 xml:space="preserve">JD </w:t>
            </w:r>
            <w:r w:rsidRPr="00623015">
              <w:rPr>
                <w:rFonts w:ascii="Times New Roman" w:hAnsi="Times New Roman" w:cs="Times New Roman"/>
                <w:sz w:val="18"/>
                <w:szCs w:val="18"/>
              </w:rPr>
              <w:t>N°</w:t>
            </w:r>
            <w:r w:rsidRPr="00623015">
              <w:rPr>
                <w:rFonts w:ascii="Times New Roman" w:eastAsia="Times New Roman" w:hAnsi="Times New Roman" w:cs="Times New Roman"/>
                <w:color w:val="000000"/>
                <w:sz w:val="18"/>
                <w:szCs w:val="18"/>
                <w:lang w:val="es-AR" w:eastAsia="es-AR"/>
              </w:rPr>
              <w:t xml:space="preserve"> 4</w:t>
            </w:r>
          </w:p>
        </w:tc>
        <w:tc>
          <w:tcPr>
            <w:tcW w:w="949" w:type="pct"/>
            <w:noWrap/>
            <w:hideMark/>
          </w:tcPr>
          <w:p w14:paraId="17FCB492"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180</w:t>
            </w:r>
          </w:p>
        </w:tc>
        <w:tc>
          <w:tcPr>
            <w:tcW w:w="750" w:type="pct"/>
            <w:noWrap/>
            <w:hideMark/>
          </w:tcPr>
          <w:p w14:paraId="54A812F7"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1,865</w:t>
            </w:r>
          </w:p>
        </w:tc>
        <w:tc>
          <w:tcPr>
            <w:tcW w:w="1099" w:type="pct"/>
            <w:noWrap/>
            <w:hideMark/>
          </w:tcPr>
          <w:p w14:paraId="4EEC63F9"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10</w:t>
            </w:r>
          </w:p>
        </w:tc>
        <w:tc>
          <w:tcPr>
            <w:tcW w:w="1349" w:type="pct"/>
            <w:noWrap/>
            <w:hideMark/>
          </w:tcPr>
          <w:p w14:paraId="5DC423EB"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187</w:t>
            </w:r>
          </w:p>
        </w:tc>
      </w:tr>
      <w:tr w:rsidR="00204055" w:rsidRPr="003403BC" w14:paraId="2674E0D2" w14:textId="77777777" w:rsidTr="000D1E0B">
        <w:trPr>
          <w:cnfStyle w:val="000000100000" w:firstRow="0" w:lastRow="0" w:firstColumn="0" w:lastColumn="0" w:oddVBand="0" w:evenVBand="0" w:oddHBand="1" w:evenHBand="0" w:firstRowFirstColumn="0" w:firstRowLastColumn="0" w:lastRowFirstColumn="0" w:lastRowLastColumn="0"/>
          <w:trHeight w:val="20"/>
        </w:trPr>
        <w:tc>
          <w:tcPr>
            <w:tcW w:w="852" w:type="pct"/>
            <w:noWrap/>
            <w:hideMark/>
          </w:tcPr>
          <w:p w14:paraId="28BC47B8" w14:textId="77777777" w:rsidR="00204055" w:rsidRPr="00623015" w:rsidRDefault="00204055" w:rsidP="000D1E0B">
            <w:pPr>
              <w:spacing w:line="480" w:lineRule="auto"/>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 xml:space="preserve">JD </w:t>
            </w:r>
            <w:r w:rsidRPr="00623015">
              <w:rPr>
                <w:rFonts w:ascii="Times New Roman" w:hAnsi="Times New Roman" w:cs="Times New Roman"/>
                <w:sz w:val="18"/>
                <w:szCs w:val="18"/>
              </w:rPr>
              <w:t>N°</w:t>
            </w:r>
            <w:r w:rsidRPr="00623015">
              <w:rPr>
                <w:rFonts w:ascii="Times New Roman" w:eastAsia="Times New Roman" w:hAnsi="Times New Roman" w:cs="Times New Roman"/>
                <w:color w:val="000000"/>
                <w:sz w:val="18"/>
                <w:szCs w:val="18"/>
                <w:lang w:val="es-AR" w:eastAsia="es-AR"/>
              </w:rPr>
              <w:t>5</w:t>
            </w:r>
          </w:p>
        </w:tc>
        <w:tc>
          <w:tcPr>
            <w:tcW w:w="949" w:type="pct"/>
            <w:noWrap/>
            <w:hideMark/>
          </w:tcPr>
          <w:p w14:paraId="5A18392E"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5</w:t>
            </w:r>
          </w:p>
        </w:tc>
        <w:tc>
          <w:tcPr>
            <w:tcW w:w="750" w:type="pct"/>
            <w:noWrap/>
            <w:hideMark/>
          </w:tcPr>
          <w:p w14:paraId="6E5683A8"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330</w:t>
            </w:r>
          </w:p>
        </w:tc>
        <w:tc>
          <w:tcPr>
            <w:tcW w:w="1099" w:type="pct"/>
            <w:noWrap/>
            <w:hideMark/>
          </w:tcPr>
          <w:p w14:paraId="0805BE18"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2</w:t>
            </w:r>
          </w:p>
        </w:tc>
        <w:tc>
          <w:tcPr>
            <w:tcW w:w="1349" w:type="pct"/>
            <w:noWrap/>
            <w:hideMark/>
          </w:tcPr>
          <w:p w14:paraId="5F5A4E26"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165</w:t>
            </w:r>
          </w:p>
        </w:tc>
      </w:tr>
      <w:tr w:rsidR="00204055" w:rsidRPr="003403BC" w14:paraId="58063FCE" w14:textId="77777777" w:rsidTr="000D1E0B">
        <w:trPr>
          <w:trHeight w:val="20"/>
        </w:trPr>
        <w:tc>
          <w:tcPr>
            <w:tcW w:w="852" w:type="pct"/>
            <w:noWrap/>
            <w:hideMark/>
          </w:tcPr>
          <w:p w14:paraId="6CE1AA09" w14:textId="77777777" w:rsidR="00204055" w:rsidRPr="00623015" w:rsidRDefault="00204055" w:rsidP="000D1E0B">
            <w:pPr>
              <w:spacing w:line="480" w:lineRule="auto"/>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 xml:space="preserve">JD </w:t>
            </w:r>
            <w:r w:rsidRPr="00623015">
              <w:rPr>
                <w:rFonts w:ascii="Times New Roman" w:hAnsi="Times New Roman" w:cs="Times New Roman"/>
                <w:sz w:val="18"/>
                <w:szCs w:val="18"/>
              </w:rPr>
              <w:t>N°</w:t>
            </w:r>
            <w:r w:rsidRPr="00623015">
              <w:rPr>
                <w:rFonts w:ascii="Times New Roman" w:eastAsia="Times New Roman" w:hAnsi="Times New Roman" w:cs="Times New Roman"/>
                <w:color w:val="000000"/>
                <w:sz w:val="18"/>
                <w:szCs w:val="18"/>
                <w:lang w:val="es-AR" w:eastAsia="es-AR"/>
              </w:rPr>
              <w:t xml:space="preserve"> 6</w:t>
            </w:r>
          </w:p>
        </w:tc>
        <w:tc>
          <w:tcPr>
            <w:tcW w:w="949" w:type="pct"/>
            <w:noWrap/>
            <w:hideMark/>
          </w:tcPr>
          <w:p w14:paraId="2844FBA1"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434</w:t>
            </w:r>
          </w:p>
        </w:tc>
        <w:tc>
          <w:tcPr>
            <w:tcW w:w="750" w:type="pct"/>
            <w:noWrap/>
            <w:hideMark/>
          </w:tcPr>
          <w:p w14:paraId="797619BD"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1,280</w:t>
            </w:r>
          </w:p>
        </w:tc>
        <w:tc>
          <w:tcPr>
            <w:tcW w:w="1099" w:type="pct"/>
            <w:noWrap/>
            <w:hideMark/>
          </w:tcPr>
          <w:p w14:paraId="42C66816"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9</w:t>
            </w:r>
          </w:p>
        </w:tc>
        <w:tc>
          <w:tcPr>
            <w:tcW w:w="1349" w:type="pct"/>
            <w:noWrap/>
            <w:hideMark/>
          </w:tcPr>
          <w:p w14:paraId="5093FAB8"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142</w:t>
            </w:r>
          </w:p>
        </w:tc>
      </w:tr>
      <w:tr w:rsidR="00204055" w:rsidRPr="003403BC" w14:paraId="50F37608" w14:textId="77777777" w:rsidTr="000D1E0B">
        <w:trPr>
          <w:cnfStyle w:val="000000100000" w:firstRow="0" w:lastRow="0" w:firstColumn="0" w:lastColumn="0" w:oddVBand="0" w:evenVBand="0" w:oddHBand="1" w:evenHBand="0" w:firstRowFirstColumn="0" w:firstRowLastColumn="0" w:lastRowFirstColumn="0" w:lastRowLastColumn="0"/>
          <w:trHeight w:val="20"/>
        </w:trPr>
        <w:tc>
          <w:tcPr>
            <w:tcW w:w="852" w:type="pct"/>
            <w:noWrap/>
            <w:hideMark/>
          </w:tcPr>
          <w:p w14:paraId="02CAAF4F" w14:textId="77777777" w:rsidR="00204055" w:rsidRPr="00623015" w:rsidRDefault="00204055" w:rsidP="000D1E0B">
            <w:pPr>
              <w:spacing w:line="480" w:lineRule="auto"/>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 xml:space="preserve">JD </w:t>
            </w:r>
            <w:r w:rsidRPr="00623015">
              <w:rPr>
                <w:rFonts w:ascii="Times New Roman" w:hAnsi="Times New Roman" w:cs="Times New Roman"/>
                <w:sz w:val="18"/>
                <w:szCs w:val="18"/>
              </w:rPr>
              <w:t>N°</w:t>
            </w:r>
            <w:r w:rsidRPr="00623015">
              <w:rPr>
                <w:rFonts w:ascii="Times New Roman" w:eastAsia="Times New Roman" w:hAnsi="Times New Roman" w:cs="Times New Roman"/>
                <w:color w:val="000000"/>
                <w:sz w:val="18"/>
                <w:szCs w:val="18"/>
                <w:lang w:val="es-AR" w:eastAsia="es-AR"/>
              </w:rPr>
              <w:t xml:space="preserve"> 7</w:t>
            </w:r>
          </w:p>
        </w:tc>
        <w:tc>
          <w:tcPr>
            <w:tcW w:w="949" w:type="pct"/>
            <w:noWrap/>
            <w:hideMark/>
          </w:tcPr>
          <w:p w14:paraId="34B42BA3"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92</w:t>
            </w:r>
          </w:p>
        </w:tc>
        <w:tc>
          <w:tcPr>
            <w:tcW w:w="750" w:type="pct"/>
            <w:noWrap/>
            <w:hideMark/>
          </w:tcPr>
          <w:p w14:paraId="7EFAE00F"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1,499</w:t>
            </w:r>
          </w:p>
        </w:tc>
        <w:tc>
          <w:tcPr>
            <w:tcW w:w="1099" w:type="pct"/>
            <w:noWrap/>
            <w:hideMark/>
          </w:tcPr>
          <w:p w14:paraId="79729A1B"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9</w:t>
            </w:r>
          </w:p>
        </w:tc>
        <w:tc>
          <w:tcPr>
            <w:tcW w:w="1349" w:type="pct"/>
            <w:noWrap/>
            <w:hideMark/>
          </w:tcPr>
          <w:p w14:paraId="3C8EE4FC" w14:textId="77777777" w:rsidR="00204055" w:rsidRPr="00623015" w:rsidRDefault="00204055" w:rsidP="000D1E0B">
            <w:pPr>
              <w:spacing w:line="480" w:lineRule="auto"/>
              <w:jc w:val="center"/>
              <w:rPr>
                <w:rFonts w:ascii="Times New Roman" w:eastAsia="Times New Roman" w:hAnsi="Times New Roman" w:cs="Times New Roman"/>
                <w:color w:val="000000"/>
                <w:sz w:val="18"/>
                <w:szCs w:val="18"/>
                <w:lang w:val="es-AR" w:eastAsia="es-AR"/>
              </w:rPr>
            </w:pPr>
            <w:r w:rsidRPr="00623015">
              <w:rPr>
                <w:rFonts w:ascii="Times New Roman" w:eastAsia="Times New Roman" w:hAnsi="Times New Roman" w:cs="Times New Roman"/>
                <w:color w:val="000000"/>
                <w:sz w:val="18"/>
                <w:szCs w:val="18"/>
                <w:lang w:val="es-AR" w:eastAsia="es-AR"/>
              </w:rPr>
              <w:t>167</w:t>
            </w:r>
          </w:p>
        </w:tc>
      </w:tr>
    </w:tbl>
    <w:p w14:paraId="2703EC9F" w14:textId="77777777" w:rsidR="00204055" w:rsidRDefault="00204055" w:rsidP="003403BC">
      <w:pPr>
        <w:spacing w:line="480" w:lineRule="auto"/>
        <w:jc w:val="both"/>
        <w:rPr>
          <w:rFonts w:ascii="Times New Roman" w:hAnsi="Times New Roman" w:cs="Times New Roman"/>
          <w:sz w:val="24"/>
          <w:szCs w:val="24"/>
        </w:rPr>
      </w:pPr>
    </w:p>
    <w:p w14:paraId="5C994FD3" w14:textId="77777777" w:rsidR="00204055" w:rsidRPr="003403BC" w:rsidRDefault="00204055" w:rsidP="003403BC">
      <w:pPr>
        <w:spacing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It is worth noting that CSJN expressed at the beginning of 2012 concern about case congestion on the 2 areas of law which we found to have the longest lasting </w:t>
      </w:r>
      <w:r w:rsidRPr="003403BC">
        <w:rPr>
          <w:rFonts w:ascii="Times New Roman" w:hAnsi="Times New Roman" w:cs="Times New Roman"/>
          <w:sz w:val="24"/>
          <w:szCs w:val="24"/>
        </w:rPr>
        <w:lastRenderedPageBreak/>
        <w:t>case duration.</w:t>
      </w:r>
      <w:r w:rsidRPr="003403BC">
        <w:rPr>
          <w:rStyle w:val="EndnoteReference"/>
          <w:rFonts w:ascii="Times New Roman" w:hAnsi="Times New Roman" w:cs="Times New Roman"/>
          <w:sz w:val="24"/>
          <w:szCs w:val="24"/>
        </w:rPr>
        <w:endnoteReference w:id="41"/>
      </w:r>
      <w:r w:rsidRPr="003403BC">
        <w:rPr>
          <w:rFonts w:ascii="Times New Roman" w:hAnsi="Times New Roman" w:cs="Times New Roman"/>
          <w:sz w:val="24"/>
          <w:szCs w:val="24"/>
        </w:rPr>
        <w:t xml:space="preserve"> Indeed, in February of 2012 CSJN enacted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i/>
          <w:sz w:val="24"/>
          <w:szCs w:val="24"/>
        </w:rPr>
        <w:t xml:space="preserve"> 1</w:t>
      </w:r>
      <w:r w:rsidRPr="003403BC">
        <w:rPr>
          <w:rFonts w:ascii="Times New Roman" w:hAnsi="Times New Roman" w:cs="Times New Roman"/>
          <w:sz w:val="24"/>
          <w:szCs w:val="24"/>
        </w:rPr>
        <w:t xml:space="preserve"> which mandated a redistribution of tasks among specialized JDs.</w:t>
      </w:r>
      <w:r w:rsidRPr="003403BC">
        <w:rPr>
          <w:rStyle w:val="EndnoteReference"/>
          <w:rFonts w:ascii="Times New Roman" w:hAnsi="Times New Roman" w:cs="Times New Roman"/>
          <w:sz w:val="24"/>
          <w:szCs w:val="24"/>
        </w:rPr>
        <w:endnoteReference w:id="42"/>
      </w:r>
      <w:r w:rsidRPr="003403BC">
        <w:rPr>
          <w:rFonts w:ascii="Times New Roman" w:hAnsi="Times New Roman" w:cs="Times New Roman"/>
          <w:sz w:val="24"/>
          <w:szCs w:val="24"/>
        </w:rPr>
        <w:t xml:space="preserve"> As a result of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i/>
          <w:sz w:val="24"/>
          <w:szCs w:val="24"/>
        </w:rPr>
        <w:t xml:space="preserve"> 1</w:t>
      </w:r>
      <w:r w:rsidRPr="003403BC">
        <w:rPr>
          <w:rFonts w:ascii="Times New Roman" w:hAnsi="Times New Roman" w:cs="Times New Roman"/>
          <w:sz w:val="24"/>
          <w:szCs w:val="24"/>
        </w:rPr>
        <w:t>, Human Rights Law cases were moved from JD N° 6 (otherwise dealing with Labor Law) to JD N° 5. It is possible then that the extended duration that we observe both in Labor Law and Human Rights Law cases is due to a backlog of previously accumulated appeals.</w:t>
      </w:r>
      <w:r>
        <w:rPr>
          <w:rFonts w:ascii="Times New Roman" w:hAnsi="Times New Roman" w:cs="Times New Roman"/>
          <w:sz w:val="24"/>
          <w:szCs w:val="24"/>
        </w:rPr>
        <w:t xml:space="preserve"> Nevertheless, </w:t>
      </w:r>
      <w:proofErr w:type="spellStart"/>
      <w:r>
        <w:rPr>
          <w:rFonts w:ascii="Times New Roman" w:hAnsi="Times New Roman" w:cs="Times New Roman"/>
          <w:sz w:val="24"/>
          <w:szCs w:val="24"/>
        </w:rPr>
        <w:t>Muro</w:t>
      </w:r>
      <w:proofErr w:type="spellEnd"/>
      <w:r>
        <w:rPr>
          <w:rFonts w:ascii="Times New Roman" w:hAnsi="Times New Roman" w:cs="Times New Roman"/>
          <w:sz w:val="24"/>
          <w:szCs w:val="24"/>
        </w:rPr>
        <w:t xml:space="preserve"> et al. (2016) report that the backlog of cases of </w:t>
      </w:r>
      <w:r w:rsidRPr="003403BC">
        <w:rPr>
          <w:rFonts w:ascii="Times New Roman" w:hAnsi="Times New Roman" w:cs="Times New Roman"/>
          <w:sz w:val="24"/>
          <w:szCs w:val="24"/>
        </w:rPr>
        <w:t>JD N° 6</w:t>
      </w:r>
      <w:r>
        <w:rPr>
          <w:rFonts w:ascii="Times New Roman" w:hAnsi="Times New Roman" w:cs="Times New Roman"/>
          <w:sz w:val="24"/>
          <w:szCs w:val="24"/>
        </w:rPr>
        <w:t xml:space="preserve"> at the end of 2011 was smaller than that of </w:t>
      </w:r>
      <w:r w:rsidRPr="003403BC">
        <w:rPr>
          <w:rFonts w:ascii="Times New Roman" w:hAnsi="Times New Roman" w:cs="Times New Roman"/>
          <w:sz w:val="24"/>
          <w:szCs w:val="24"/>
        </w:rPr>
        <w:t>JD</w:t>
      </w:r>
      <w:r>
        <w:rPr>
          <w:rFonts w:ascii="Times New Roman" w:hAnsi="Times New Roman" w:cs="Times New Roman"/>
          <w:sz w:val="24"/>
          <w:szCs w:val="24"/>
        </w:rPr>
        <w:t>s</w:t>
      </w:r>
      <w:r w:rsidRPr="003403BC">
        <w:rPr>
          <w:rFonts w:ascii="Times New Roman" w:hAnsi="Times New Roman" w:cs="Times New Roman"/>
          <w:sz w:val="24"/>
          <w:szCs w:val="24"/>
        </w:rPr>
        <w:t xml:space="preserve"> N° </w:t>
      </w:r>
      <w:r>
        <w:rPr>
          <w:rFonts w:ascii="Times New Roman" w:hAnsi="Times New Roman" w:cs="Times New Roman"/>
          <w:sz w:val="24"/>
          <w:szCs w:val="24"/>
        </w:rPr>
        <w:t>3 and</w:t>
      </w:r>
      <w:r w:rsidRPr="003403BC">
        <w:rPr>
          <w:rFonts w:ascii="Times New Roman" w:hAnsi="Times New Roman" w:cs="Times New Roman"/>
          <w:sz w:val="24"/>
          <w:szCs w:val="24"/>
        </w:rPr>
        <w:t xml:space="preserve"> N° </w:t>
      </w:r>
      <w:r>
        <w:rPr>
          <w:rFonts w:ascii="Times New Roman" w:hAnsi="Times New Roman" w:cs="Times New Roman"/>
          <w:sz w:val="24"/>
          <w:szCs w:val="24"/>
        </w:rPr>
        <w:t xml:space="preserve">4, suggesting that other causes were at play. </w:t>
      </w:r>
    </w:p>
    <w:p w14:paraId="0098371C" w14:textId="77777777" w:rsidR="00204055" w:rsidRPr="003403BC" w:rsidRDefault="00204055" w:rsidP="003403BC">
      <w:pPr>
        <w:spacing w:line="480" w:lineRule="auto"/>
        <w:jc w:val="both"/>
        <w:rPr>
          <w:rFonts w:ascii="Times New Roman" w:hAnsi="Times New Roman" w:cs="Times New Roman"/>
          <w:i/>
          <w:sz w:val="24"/>
          <w:szCs w:val="24"/>
        </w:rPr>
      </w:pPr>
      <w:r w:rsidRPr="003403BC">
        <w:rPr>
          <w:rFonts w:ascii="Times New Roman" w:hAnsi="Times New Roman" w:cs="Times New Roman"/>
          <w:i/>
          <w:sz w:val="24"/>
          <w:szCs w:val="24"/>
        </w:rPr>
        <w:t>4. Justices level of agreement</w:t>
      </w:r>
    </w:p>
    <w:p w14:paraId="6A86DE66" w14:textId="77777777" w:rsidR="00204055" w:rsidRPr="003403BC" w:rsidRDefault="00204055" w:rsidP="003403BC">
      <w:pPr>
        <w:spacing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We expected cases with dissenting or separate opinions to take longer to be resolved because Justices would need to spend more time on the case. Both type of cases take longer to be resolved than the average case. Nonetheless, the difference from the mean is quite small, with separate opinions averaging 327 days for cases and dissenting opinions averaging 334 days. </w:t>
      </w:r>
    </w:p>
    <w:p w14:paraId="530ED5DB" w14:textId="77777777" w:rsidR="00204055" w:rsidRDefault="00204055" w:rsidP="003403BC">
      <w:pPr>
        <w:spacing w:line="480" w:lineRule="auto"/>
        <w:jc w:val="both"/>
        <w:rPr>
          <w:rFonts w:ascii="Times New Roman" w:hAnsi="Times New Roman" w:cs="Times New Roman"/>
          <w:b/>
          <w:sz w:val="24"/>
          <w:szCs w:val="24"/>
        </w:rPr>
      </w:pPr>
    </w:p>
    <w:p w14:paraId="7B2F1FF3" w14:textId="77777777" w:rsidR="00204055" w:rsidRPr="00623015" w:rsidRDefault="00204055" w:rsidP="00C25E97">
      <w:pPr>
        <w:spacing w:line="480" w:lineRule="auto"/>
        <w:jc w:val="both"/>
        <w:rPr>
          <w:rFonts w:ascii="Times New Roman" w:hAnsi="Times New Roman" w:cs="Times New Roman"/>
          <w:b/>
          <w:color w:val="92D050"/>
          <w:sz w:val="20"/>
          <w:szCs w:val="20"/>
        </w:rPr>
      </w:pPr>
      <w:r w:rsidRPr="00623015">
        <w:rPr>
          <w:rFonts w:ascii="Times New Roman" w:hAnsi="Times New Roman" w:cs="Times New Roman"/>
          <w:b/>
          <w:sz w:val="20"/>
          <w:szCs w:val="20"/>
        </w:rPr>
        <w:t xml:space="preserve">Figure 11: Case duration by level of agreement </w:t>
      </w:r>
    </w:p>
    <w:p w14:paraId="59E9B4F9" w14:textId="77777777" w:rsidR="00204055" w:rsidRDefault="00204055" w:rsidP="003403BC">
      <w:pPr>
        <w:spacing w:line="480" w:lineRule="auto"/>
        <w:jc w:val="both"/>
        <w:rPr>
          <w:rFonts w:ascii="Times New Roman" w:hAnsi="Times New Roman" w:cs="Times New Roman"/>
          <w:sz w:val="24"/>
          <w:szCs w:val="24"/>
        </w:rPr>
      </w:pPr>
      <w:r w:rsidRPr="003403BC">
        <w:rPr>
          <w:rFonts w:ascii="Times New Roman" w:hAnsi="Times New Roman" w:cs="Times New Roman"/>
          <w:noProof/>
          <w:sz w:val="24"/>
          <w:szCs w:val="24"/>
          <w:lang w:val="es-AR" w:eastAsia="es-AR"/>
        </w:rPr>
        <w:lastRenderedPageBreak/>
        <w:drawing>
          <wp:inline distT="0" distB="0" distL="0" distR="0" wp14:anchorId="63D0188A" wp14:editId="414A57A6">
            <wp:extent cx="3399905" cy="1762298"/>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04950" cy="1764913"/>
                    </a:xfrm>
                    <a:prstGeom prst="rect">
                      <a:avLst/>
                    </a:prstGeom>
                    <a:noFill/>
                    <a:ln>
                      <a:noFill/>
                    </a:ln>
                  </pic:spPr>
                </pic:pic>
              </a:graphicData>
            </a:graphic>
          </wp:inline>
        </w:drawing>
      </w:r>
      <w:r w:rsidRPr="003403BC">
        <w:rPr>
          <w:rFonts w:ascii="Times New Roman" w:hAnsi="Times New Roman" w:cs="Times New Roman"/>
          <w:noProof/>
          <w:sz w:val="24"/>
          <w:szCs w:val="24"/>
          <w:lang w:val="es-AR" w:eastAsia="es-AR"/>
        </w:rPr>
        <w:drawing>
          <wp:inline distT="0" distB="0" distL="0" distR="0" wp14:anchorId="5C115C43" wp14:editId="210D51D4">
            <wp:extent cx="3399905" cy="1845425"/>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98507" cy="1844666"/>
                    </a:xfrm>
                    <a:prstGeom prst="rect">
                      <a:avLst/>
                    </a:prstGeom>
                    <a:noFill/>
                    <a:ln>
                      <a:noFill/>
                    </a:ln>
                  </pic:spPr>
                </pic:pic>
              </a:graphicData>
            </a:graphic>
          </wp:inline>
        </w:drawing>
      </w:r>
    </w:p>
    <w:p w14:paraId="75D08C7F" w14:textId="77777777" w:rsidR="00204055" w:rsidRPr="003403BC" w:rsidRDefault="00204055" w:rsidP="003403BC">
      <w:pPr>
        <w:spacing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The total number of opinions with some degree of dissent is interesting in itself. The objective nature of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rules would suggest little, if any, room for disagreement. Nonetheless, 5 years after the implementation of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10 percent of the opinions issued under its guise merited differences in opinion among the Justices.</w:t>
      </w:r>
      <w:r w:rsidRPr="003403BC">
        <w:rPr>
          <w:rStyle w:val="EndnoteReference"/>
          <w:rFonts w:ascii="Times New Roman" w:hAnsi="Times New Roman" w:cs="Times New Roman"/>
          <w:sz w:val="24"/>
          <w:szCs w:val="24"/>
        </w:rPr>
        <w:endnoteReference w:id="43"/>
      </w:r>
      <w:r w:rsidRPr="003403BC">
        <w:rPr>
          <w:rFonts w:ascii="Times New Roman" w:hAnsi="Times New Roman" w:cs="Times New Roman"/>
          <w:sz w:val="24"/>
          <w:szCs w:val="24"/>
        </w:rPr>
        <w:t xml:space="preserve"> Even though not every dissent or separate opinion was based in different interpretations of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i/>
          <w:sz w:val="24"/>
          <w:szCs w:val="24"/>
        </w:rPr>
        <w:t xml:space="preserve"> </w:t>
      </w:r>
      <w:r w:rsidRPr="003403BC">
        <w:rPr>
          <w:rFonts w:ascii="Times New Roman" w:hAnsi="Times New Roman" w:cs="Times New Roman"/>
          <w:sz w:val="24"/>
          <w:szCs w:val="24"/>
        </w:rPr>
        <w:t xml:space="preserve">-for instance, some dissenting opinions asked for the opinion of the </w:t>
      </w:r>
      <w:proofErr w:type="spellStart"/>
      <w:r w:rsidRPr="003403BC">
        <w:rPr>
          <w:rFonts w:ascii="Times New Roman" w:hAnsi="Times New Roman" w:cs="Times New Roman"/>
          <w:i/>
          <w:sz w:val="24"/>
          <w:szCs w:val="24"/>
        </w:rPr>
        <w:t>Procurador</w:t>
      </w:r>
      <w:proofErr w:type="spellEnd"/>
      <w:r w:rsidRPr="003403BC">
        <w:rPr>
          <w:rFonts w:ascii="Times New Roman" w:hAnsi="Times New Roman" w:cs="Times New Roman"/>
          <w:i/>
          <w:sz w:val="24"/>
          <w:szCs w:val="24"/>
        </w:rPr>
        <w:t xml:space="preserve"> General de la </w:t>
      </w:r>
      <w:proofErr w:type="spellStart"/>
      <w:r w:rsidRPr="003403BC">
        <w:rPr>
          <w:rFonts w:ascii="Times New Roman" w:hAnsi="Times New Roman" w:cs="Times New Roman"/>
          <w:i/>
          <w:sz w:val="24"/>
          <w:szCs w:val="24"/>
        </w:rPr>
        <w:t>Nacion</w:t>
      </w:r>
      <w:proofErr w:type="spellEnd"/>
      <w:r w:rsidRPr="003403BC">
        <w:rPr>
          <w:rFonts w:ascii="Times New Roman" w:hAnsi="Times New Roman" w:cs="Times New Roman"/>
          <w:sz w:val="24"/>
          <w:szCs w:val="24"/>
        </w:rPr>
        <w:t xml:space="preserve">-, its full implementation seems to continue to be a work in progress. Interestingly, more than half of the cases with dissenting or separate opinions are criminal cases, representing 39 percent of all the criminal dismissals on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grounds. The </w:t>
      </w:r>
      <w:r w:rsidRPr="003403BC">
        <w:rPr>
          <w:rFonts w:ascii="Times New Roman" w:hAnsi="Times New Roman" w:cs="Times New Roman"/>
          <w:sz w:val="24"/>
          <w:szCs w:val="24"/>
        </w:rPr>
        <w:lastRenderedPageBreak/>
        <w:t>later figure greatly exceeds the 15 percent figure we observed in the whole population. Disagreement seems the largest when criminal cases arise.</w:t>
      </w:r>
    </w:p>
    <w:p w14:paraId="5CAACE62" w14:textId="77777777" w:rsidR="00204055" w:rsidRPr="003403BC" w:rsidRDefault="00204055" w:rsidP="003403BC">
      <w:pPr>
        <w:spacing w:line="480" w:lineRule="auto"/>
        <w:jc w:val="both"/>
        <w:rPr>
          <w:rFonts w:ascii="Times New Roman" w:hAnsi="Times New Roman" w:cs="Times New Roman"/>
          <w:i/>
          <w:sz w:val="24"/>
          <w:szCs w:val="24"/>
        </w:rPr>
      </w:pPr>
      <w:r w:rsidRPr="003403BC">
        <w:rPr>
          <w:rFonts w:ascii="Times New Roman" w:hAnsi="Times New Roman" w:cs="Times New Roman"/>
          <w:i/>
          <w:sz w:val="24"/>
          <w:szCs w:val="24"/>
        </w:rPr>
        <w:t>5. Survival Analysis</w:t>
      </w:r>
    </w:p>
    <w:p w14:paraId="1FBC7552" w14:textId="77777777" w:rsidR="00204055" w:rsidRPr="003403BC" w:rsidRDefault="00204055" w:rsidP="003403BC">
      <w:pPr>
        <w:spacing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The duration of cases can be summarized through parametric and non-parametric survival analysis, which frames the time to occurrence of an event, in order to identify what case characteristics make it more or less likely that a case is decided sooner or later. Let us define </w:t>
      </w:r>
      <w:r w:rsidRPr="003403BC">
        <w:rPr>
          <w:rFonts w:ascii="Times New Roman" w:hAnsi="Times New Roman" w:cs="Times New Roman"/>
          <w:i/>
          <w:sz w:val="24"/>
          <w:szCs w:val="24"/>
        </w:rPr>
        <w:t>T</w:t>
      </w:r>
      <w:r w:rsidRPr="003403BC">
        <w:rPr>
          <w:rFonts w:ascii="Times New Roman" w:hAnsi="Times New Roman" w:cs="Times New Roman"/>
          <w:sz w:val="24"/>
          <w:szCs w:val="24"/>
        </w:rPr>
        <w:t xml:space="preserve"> as random variable that represents this non-negative time span in days, where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oMath>
      <w:r w:rsidRPr="003403BC">
        <w:rPr>
          <w:rFonts w:ascii="Times New Roman" w:eastAsiaTheme="minorEastAsia" w:hAnsi="Times New Roman" w:cs="Times New Roman"/>
          <w:sz w:val="24"/>
          <w:szCs w:val="24"/>
        </w:rPr>
        <w:t xml:space="preserve"> represents the probability density of </w:t>
      </w:r>
      <w:r w:rsidRPr="003403BC">
        <w:rPr>
          <w:rFonts w:ascii="Times New Roman" w:eastAsiaTheme="minorEastAsia" w:hAnsi="Times New Roman" w:cs="Times New Roman"/>
          <w:i/>
          <w:sz w:val="24"/>
          <w:szCs w:val="24"/>
        </w:rPr>
        <w:t>T</w:t>
      </w:r>
      <w:r w:rsidRPr="003403BC">
        <w:rPr>
          <w:rFonts w:ascii="Times New Roman" w:eastAsiaTheme="minorEastAsia"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=P[T≤t</m:t>
        </m:r>
        <m:r>
          <w:rPr>
            <w:rFonts w:ascii="Cambria Math" w:eastAsiaTheme="minorEastAsia" w:hAnsi="Cambria Math" w:cs="Times New Roman"/>
            <w:sz w:val="24"/>
            <w:szCs w:val="24"/>
          </w:rPr>
          <m:t>]</m:t>
        </m:r>
      </m:oMath>
      <w:r w:rsidRPr="003403BC">
        <w:rPr>
          <w:rFonts w:ascii="Times New Roman" w:eastAsiaTheme="minorEastAsia" w:hAnsi="Times New Roman" w:cs="Times New Roman"/>
          <w:sz w:val="24"/>
          <w:szCs w:val="24"/>
        </w:rPr>
        <w:t xml:space="preserve"> the cumulative distribution up to day </w:t>
      </w:r>
      <w:r w:rsidRPr="003403BC">
        <w:rPr>
          <w:rFonts w:ascii="Times New Roman" w:eastAsiaTheme="minorEastAsia" w:hAnsi="Times New Roman" w:cs="Times New Roman"/>
          <w:i/>
          <w:sz w:val="24"/>
          <w:szCs w:val="24"/>
        </w:rPr>
        <w:t xml:space="preserve">t </w:t>
      </w:r>
      <w:r w:rsidRPr="003403BC">
        <w:rPr>
          <w:rFonts w:ascii="Times New Roman" w:eastAsiaTheme="minorEastAsia" w:hAnsi="Times New Roman" w:cs="Times New Roman"/>
          <w:sz w:val="24"/>
          <w:szCs w:val="24"/>
        </w:rPr>
        <w:t xml:space="preserve">and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=P[T&gt;t]</m:t>
        </m:r>
      </m:oMath>
      <w:r w:rsidRPr="003403BC">
        <w:rPr>
          <w:rFonts w:ascii="Times New Roman" w:eastAsiaTheme="minorEastAsia" w:hAnsi="Times New Roman" w:cs="Times New Roman"/>
          <w:sz w:val="24"/>
          <w:szCs w:val="24"/>
        </w:rPr>
        <w:t xml:space="preserve"> </w:t>
      </w:r>
      <w:r w:rsidRPr="003403BC">
        <w:rPr>
          <w:rFonts w:ascii="Times New Roman" w:hAnsi="Times New Roman" w:cs="Times New Roman"/>
          <w:sz w:val="24"/>
          <w:szCs w:val="24"/>
        </w:rPr>
        <w:t xml:space="preserve">depicts the survival function - the probability of a case remaining undecided at time </w:t>
      </w:r>
      <w:r w:rsidRPr="003403BC">
        <w:rPr>
          <w:rFonts w:ascii="Times New Roman" w:hAnsi="Times New Roman" w:cs="Times New Roman"/>
          <w:i/>
          <w:sz w:val="24"/>
          <w:szCs w:val="24"/>
        </w:rPr>
        <w:t>t</w:t>
      </w:r>
      <w:r w:rsidRPr="003403BC">
        <w:rPr>
          <w:rFonts w:ascii="Times New Roman" w:eastAsiaTheme="minorEastAsia" w:hAnsi="Times New Roman" w:cs="Times New Roman"/>
          <w:sz w:val="24"/>
          <w:szCs w:val="24"/>
        </w:rPr>
        <w:t xml:space="preserve">. Also, let </w:t>
      </w:r>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num>
          <m:den>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e>
            </m:d>
          </m:den>
        </m:f>
      </m:oMath>
      <w:r w:rsidRPr="003403BC">
        <w:rPr>
          <w:rFonts w:ascii="Times New Roman" w:eastAsiaTheme="minorEastAsia" w:hAnsi="Times New Roman" w:cs="Times New Roman"/>
          <w:sz w:val="24"/>
          <w:szCs w:val="24"/>
        </w:rPr>
        <w:t xml:space="preserve"> be the hazard function that describes the instantaneous rate at which a case is decided at any point in time, or the rate at which the risk of a case remaining undecided accumulates through time.</w:t>
      </w:r>
      <w:r w:rsidRPr="003403BC">
        <w:rPr>
          <w:rStyle w:val="EndnoteReference"/>
          <w:rFonts w:ascii="Times New Roman" w:eastAsiaTheme="minorEastAsia" w:hAnsi="Times New Roman" w:cs="Times New Roman"/>
          <w:sz w:val="24"/>
          <w:szCs w:val="24"/>
        </w:rPr>
        <w:endnoteReference w:id="44"/>
      </w:r>
      <w:r w:rsidRPr="003403BC">
        <w:rPr>
          <w:rFonts w:ascii="Times New Roman" w:eastAsiaTheme="minorEastAsia" w:hAnsi="Times New Roman" w:cs="Times New Roman"/>
          <w:sz w:val="24"/>
          <w:szCs w:val="24"/>
        </w:rPr>
        <w:t xml:space="preserve"> </w:t>
      </w:r>
    </w:p>
    <w:p w14:paraId="1BED9DF6" w14:textId="77777777" w:rsidR="00204055" w:rsidRPr="003403BC" w:rsidRDefault="00204055" w:rsidP="003403BC">
      <w:pPr>
        <w:spacing w:line="480" w:lineRule="auto"/>
        <w:jc w:val="both"/>
        <w:rPr>
          <w:rFonts w:ascii="Times New Roman" w:hAnsi="Times New Roman" w:cs="Times New Roman"/>
          <w:sz w:val="24"/>
          <w:szCs w:val="24"/>
        </w:rPr>
      </w:pPr>
      <w:r w:rsidRPr="003403BC">
        <w:rPr>
          <w:rFonts w:ascii="Times New Roman" w:hAnsi="Times New Roman" w:cs="Times New Roman"/>
          <w:sz w:val="24"/>
          <w:szCs w:val="24"/>
        </w:rPr>
        <w:t>Based on these definitions, we computed Kaplan-Meier survival estimates for the 1,134 cases for which date data could be recovered from the case file.</w:t>
      </w:r>
      <w:r w:rsidRPr="003403BC">
        <w:rPr>
          <w:rStyle w:val="EndnoteReference"/>
          <w:rFonts w:ascii="Times New Roman" w:hAnsi="Times New Roman" w:cs="Times New Roman"/>
          <w:sz w:val="24"/>
          <w:szCs w:val="24"/>
        </w:rPr>
        <w:endnoteReference w:id="45"/>
      </w:r>
      <w:r w:rsidRPr="003403BC">
        <w:rPr>
          <w:rFonts w:ascii="Times New Roman" w:hAnsi="Times New Roman" w:cs="Times New Roman"/>
          <w:sz w:val="24"/>
          <w:szCs w:val="24"/>
        </w:rPr>
        <w:t xml:space="preserve"> This estimator multiplies the successive probabilities of a case being decided at a certain point of time with any previous probability computed, over small time intervals, to get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S</m:t>
                </m:r>
              </m:e>
            </m:acc>
          </m:e>
          <m:sub>
            <m:r>
              <w:rPr>
                <w:rFonts w:ascii="Cambria Math" w:hAnsi="Cambria Math" w:cs="Times New Roman"/>
                <w:sz w:val="24"/>
                <w:szCs w:val="24"/>
              </w:rPr>
              <m:t>t</m:t>
            </m:r>
          </m:sub>
        </m:sSub>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&lt;t</m:t>
            </m:r>
          </m:sub>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-d</m:t>
                </m:r>
              </m:num>
              <m:den>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den>
            </m:f>
          </m:e>
        </m:nary>
      </m:oMath>
      <w:r w:rsidRPr="003403BC">
        <w:rPr>
          <w:rFonts w:ascii="Times New Roman" w:eastAsiaTheme="minorEastAsia" w:hAnsi="Times New Roman" w:cs="Times New Roman"/>
          <w:sz w:val="24"/>
          <w:szCs w:val="24"/>
        </w:rPr>
        <w:t xml:space="preserve">,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oMath>
      <w:r w:rsidRPr="003403BC">
        <w:rPr>
          <w:rFonts w:ascii="Times New Roman" w:eastAsiaTheme="minorEastAsia" w:hAnsi="Times New Roman" w:cs="Times New Roman"/>
          <w:sz w:val="24"/>
          <w:szCs w:val="24"/>
        </w:rPr>
        <w:t xml:space="preserve"> is the number of cases undecided at the beginning of the analysis (i.e. all cases) and </w:t>
      </w:r>
      <w:r w:rsidRPr="003403BC">
        <w:rPr>
          <w:rFonts w:ascii="Times New Roman" w:eastAsiaTheme="minorEastAsia" w:hAnsi="Times New Roman" w:cs="Times New Roman"/>
          <w:i/>
          <w:sz w:val="24"/>
          <w:szCs w:val="24"/>
        </w:rPr>
        <w:t>d</w:t>
      </w:r>
      <w:r w:rsidRPr="003403BC">
        <w:rPr>
          <w:rFonts w:ascii="Times New Roman" w:eastAsiaTheme="minorEastAsia" w:hAnsi="Times New Roman" w:cs="Times New Roman"/>
          <w:sz w:val="24"/>
          <w:szCs w:val="24"/>
        </w:rPr>
        <w:t xml:space="preserve"> the number of cases decided at each </w:t>
      </w:r>
      <w:r w:rsidRPr="003403BC">
        <w:rPr>
          <w:rFonts w:ascii="Times New Roman" w:eastAsiaTheme="minorEastAsia" w:hAnsi="Times New Roman" w:cs="Times New Roman"/>
          <w:sz w:val="24"/>
          <w:szCs w:val="24"/>
        </w:rPr>
        <w:lastRenderedPageBreak/>
        <w:t xml:space="preserve">point in time. With this estimates, </w:t>
      </w:r>
      <w:r w:rsidRPr="003403BC">
        <w:rPr>
          <w:rFonts w:ascii="Times New Roman" w:hAnsi="Times New Roman" w:cs="Times New Roman"/>
          <w:sz w:val="24"/>
          <w:szCs w:val="24"/>
        </w:rPr>
        <w:t>Figure 1</w:t>
      </w:r>
      <w:r>
        <w:rPr>
          <w:rFonts w:ascii="Times New Roman" w:hAnsi="Times New Roman" w:cs="Times New Roman"/>
          <w:sz w:val="24"/>
          <w:szCs w:val="24"/>
        </w:rPr>
        <w:t>2</w:t>
      </w:r>
      <w:r w:rsidRPr="003403BC">
        <w:rPr>
          <w:rFonts w:ascii="Times New Roman" w:hAnsi="Times New Roman" w:cs="Times New Roman"/>
          <w:sz w:val="24"/>
          <w:szCs w:val="24"/>
        </w:rPr>
        <w:t xml:space="preserve"> depicts the survival probability for criminal and civil cases. The probability of criminal cases being decided is higher than civil cases up to a point close to 280 days, where both equal 55 percent, and afterwards the trend reverts: criminal cases become relatively more likely to be resolved by the Supreme Court. Also, criminal cases are highly unlikely to remain within the Supreme Court after a year, given that the probability of continuing unresolved drops below 10 percent after 432 days; conversely, civil cases only reach a 10 percent probability of continuing unresolved after 615 days, over 180 days relative to criminal cases. </w:t>
      </w:r>
    </w:p>
    <w:p w14:paraId="05D1B1AD" w14:textId="77777777" w:rsidR="00204055" w:rsidRDefault="00204055" w:rsidP="003403BC">
      <w:pPr>
        <w:spacing w:line="480" w:lineRule="auto"/>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9"/>
      </w:tblGrid>
      <w:tr w:rsidR="00204055" w:rsidRPr="003403BC" w14:paraId="219A58B3" w14:textId="77777777" w:rsidTr="00623015">
        <w:tc>
          <w:tcPr>
            <w:tcW w:w="8129" w:type="dxa"/>
          </w:tcPr>
          <w:p w14:paraId="5899DC04" w14:textId="77777777" w:rsidR="00204055" w:rsidRPr="00623015" w:rsidRDefault="00204055" w:rsidP="000D1E0B">
            <w:pPr>
              <w:spacing w:line="480" w:lineRule="auto"/>
              <w:rPr>
                <w:rFonts w:ascii="Times New Roman" w:hAnsi="Times New Roman" w:cs="Times New Roman"/>
                <w:sz w:val="20"/>
                <w:szCs w:val="20"/>
              </w:rPr>
            </w:pPr>
            <w:r w:rsidRPr="00623015">
              <w:rPr>
                <w:rFonts w:ascii="Times New Roman" w:hAnsi="Times New Roman" w:cs="Times New Roman"/>
                <w:b/>
                <w:sz w:val="20"/>
                <w:szCs w:val="20"/>
              </w:rPr>
              <w:t>Figure 12: Duration of criminal and civil cases</w:t>
            </w:r>
          </w:p>
        </w:tc>
      </w:tr>
      <w:tr w:rsidR="00204055" w:rsidRPr="003403BC" w14:paraId="58245762" w14:textId="77777777" w:rsidTr="00623015">
        <w:tc>
          <w:tcPr>
            <w:tcW w:w="8129" w:type="dxa"/>
          </w:tcPr>
          <w:p w14:paraId="39499D4D" w14:textId="77777777" w:rsidR="00204055" w:rsidRPr="003403BC" w:rsidRDefault="00204055" w:rsidP="000D1E0B">
            <w:pPr>
              <w:spacing w:line="480" w:lineRule="auto"/>
              <w:jc w:val="center"/>
              <w:rPr>
                <w:rFonts w:ascii="Times New Roman" w:hAnsi="Times New Roman" w:cs="Times New Roman"/>
                <w:sz w:val="24"/>
                <w:szCs w:val="24"/>
              </w:rPr>
            </w:pPr>
            <w:r w:rsidRPr="003403BC">
              <w:rPr>
                <w:rFonts w:ascii="Times New Roman" w:hAnsi="Times New Roman" w:cs="Times New Roman"/>
                <w:noProof/>
                <w:sz w:val="24"/>
                <w:szCs w:val="24"/>
                <w:lang w:val="es-AR" w:eastAsia="es-AR"/>
              </w:rPr>
              <w:lastRenderedPageBreak/>
              <w:drawing>
                <wp:inline distT="0" distB="0" distL="0" distR="0" wp14:anchorId="1709038A" wp14:editId="4FD99096">
                  <wp:extent cx="4812514" cy="3522168"/>
                  <wp:effectExtent l="0" t="0" r="762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31885" cy="3536345"/>
                          </a:xfrm>
                          <a:prstGeom prst="rect">
                            <a:avLst/>
                          </a:prstGeom>
                          <a:noFill/>
                          <a:ln>
                            <a:noFill/>
                          </a:ln>
                        </pic:spPr>
                      </pic:pic>
                    </a:graphicData>
                  </a:graphic>
                </wp:inline>
              </w:drawing>
            </w:r>
          </w:p>
        </w:tc>
      </w:tr>
    </w:tbl>
    <w:p w14:paraId="05391E3A" w14:textId="77777777" w:rsidR="00204055" w:rsidRDefault="00204055" w:rsidP="003403BC">
      <w:pPr>
        <w:spacing w:line="480" w:lineRule="auto"/>
        <w:jc w:val="both"/>
        <w:rPr>
          <w:rFonts w:ascii="Times New Roman" w:hAnsi="Times New Roman" w:cs="Times New Roman"/>
          <w:sz w:val="24"/>
          <w:szCs w:val="24"/>
        </w:rPr>
      </w:pPr>
      <w:r w:rsidRPr="003403BC">
        <w:rPr>
          <w:rFonts w:ascii="Times New Roman" w:hAnsi="Times New Roman" w:cs="Times New Roman"/>
          <w:sz w:val="24"/>
          <w:szCs w:val="24"/>
        </w:rPr>
        <w:t>Case duration is also related to where the case originated from, be it a federal, provincial or national court. From our estimates, cases that reach the Supreme Court from a federal court have a lower probability of remaining in the roster: on average, the probability for a federal case to be resolved in time is 2 percent higher at any point in time than a case originated in another court (Figure 1</w:t>
      </w:r>
      <w:r>
        <w:rPr>
          <w:rFonts w:ascii="Times New Roman" w:hAnsi="Times New Roman" w:cs="Times New Roman"/>
          <w:sz w:val="24"/>
          <w:szCs w:val="24"/>
        </w:rPr>
        <w:t>3</w:t>
      </w:r>
      <w:r w:rsidRPr="003403BC">
        <w:rPr>
          <w:rFonts w:ascii="Times New Roman" w:hAnsi="Times New Roman" w:cs="Times New Roman"/>
          <w:sz w:val="24"/>
          <w:szCs w:val="24"/>
        </w:rPr>
        <w:t>).</w:t>
      </w:r>
    </w:p>
    <w:p w14:paraId="7B493F74" w14:textId="77777777" w:rsidR="00204055" w:rsidRDefault="00204055" w:rsidP="003403BC">
      <w:pPr>
        <w:spacing w:line="480" w:lineRule="auto"/>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9"/>
      </w:tblGrid>
      <w:tr w:rsidR="00204055" w:rsidRPr="003403BC" w14:paraId="58283920" w14:textId="77777777" w:rsidTr="000D1E0B">
        <w:tc>
          <w:tcPr>
            <w:tcW w:w="8129" w:type="dxa"/>
          </w:tcPr>
          <w:p w14:paraId="441441AC" w14:textId="77777777" w:rsidR="00204055" w:rsidRPr="00623015" w:rsidRDefault="00204055" w:rsidP="000D1E0B">
            <w:pPr>
              <w:spacing w:line="480" w:lineRule="auto"/>
              <w:rPr>
                <w:rFonts w:ascii="Times New Roman" w:hAnsi="Times New Roman" w:cs="Times New Roman"/>
                <w:sz w:val="20"/>
                <w:szCs w:val="20"/>
              </w:rPr>
            </w:pPr>
            <w:r w:rsidRPr="00623015">
              <w:rPr>
                <w:rFonts w:ascii="Times New Roman" w:hAnsi="Times New Roman" w:cs="Times New Roman"/>
                <w:b/>
                <w:sz w:val="20"/>
                <w:szCs w:val="20"/>
              </w:rPr>
              <w:t>Figure 13: Duration of cases coming from federal or other courts</w:t>
            </w:r>
          </w:p>
        </w:tc>
      </w:tr>
      <w:tr w:rsidR="00204055" w:rsidRPr="003403BC" w14:paraId="0338D02B" w14:textId="77777777" w:rsidTr="000D1E0B">
        <w:tc>
          <w:tcPr>
            <w:tcW w:w="8129" w:type="dxa"/>
          </w:tcPr>
          <w:p w14:paraId="1A247212" w14:textId="77777777" w:rsidR="00204055" w:rsidRPr="003403BC" w:rsidRDefault="00204055" w:rsidP="000D1E0B">
            <w:pPr>
              <w:spacing w:line="480" w:lineRule="auto"/>
              <w:jc w:val="center"/>
              <w:rPr>
                <w:rFonts w:ascii="Times New Roman" w:hAnsi="Times New Roman" w:cs="Times New Roman"/>
                <w:sz w:val="24"/>
                <w:szCs w:val="24"/>
              </w:rPr>
            </w:pPr>
            <w:r w:rsidRPr="003403BC">
              <w:rPr>
                <w:rFonts w:ascii="Times New Roman" w:hAnsi="Times New Roman" w:cs="Times New Roman"/>
                <w:noProof/>
                <w:sz w:val="24"/>
                <w:szCs w:val="24"/>
                <w:lang w:val="es-AR" w:eastAsia="es-AR"/>
              </w:rPr>
              <w:lastRenderedPageBreak/>
              <w:drawing>
                <wp:inline distT="0" distB="0" distL="0" distR="0" wp14:anchorId="688CA0F5" wp14:editId="7607C85E">
                  <wp:extent cx="4298120" cy="3148716"/>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01215" cy="3150983"/>
                          </a:xfrm>
                          <a:prstGeom prst="rect">
                            <a:avLst/>
                          </a:prstGeom>
                          <a:noFill/>
                          <a:ln>
                            <a:noFill/>
                          </a:ln>
                        </pic:spPr>
                      </pic:pic>
                    </a:graphicData>
                  </a:graphic>
                </wp:inline>
              </w:drawing>
            </w:r>
          </w:p>
        </w:tc>
      </w:tr>
    </w:tbl>
    <w:p w14:paraId="3596BADE" w14:textId="77777777" w:rsidR="00204055" w:rsidRPr="003403BC" w:rsidRDefault="00204055" w:rsidP="003403BC">
      <w:pPr>
        <w:spacing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Case duration also varies significantly between subject areas. Particularly, cases involving labor law have a low expectation of being promptly decided by the Supreme Court. While a non-labor cases has a probability of remaining undecided after six months of 60 percent, a labor case has a 95 percent probability of remaining in the roster by that time; after a year, the survival probability for non-labor civil cases and labor cases drops proportionally, around 40 percent, but labor remains at 55 percent by the end of the first year in the roster. </w:t>
      </w:r>
    </w:p>
    <w:p w14:paraId="728BA7CC" w14:textId="77777777" w:rsidR="00204055" w:rsidRDefault="00204055" w:rsidP="003403BC">
      <w:pPr>
        <w:spacing w:line="480" w:lineRule="auto"/>
        <w:jc w:val="both"/>
        <w:rPr>
          <w:rFonts w:ascii="Times New Roman" w:hAnsi="Times New Roman" w:cs="Times New Roman"/>
          <w:b/>
          <w:sz w:val="24"/>
          <w:szCs w:val="24"/>
        </w:rPr>
      </w:pPr>
    </w:p>
    <w:p w14:paraId="72B12316" w14:textId="77777777" w:rsidR="00204055" w:rsidRPr="003403BC" w:rsidRDefault="00204055" w:rsidP="007C0520">
      <w:pPr>
        <w:spacing w:line="480" w:lineRule="auto"/>
        <w:rPr>
          <w:rFonts w:ascii="Times New Roman" w:hAnsi="Times New Roman" w:cs="Times New Roman"/>
          <w:sz w:val="24"/>
          <w:szCs w:val="24"/>
        </w:rPr>
      </w:pPr>
      <w:r w:rsidRPr="00623015">
        <w:rPr>
          <w:rFonts w:ascii="Times New Roman" w:hAnsi="Times New Roman" w:cs="Times New Roman"/>
          <w:b/>
          <w:sz w:val="20"/>
          <w:szCs w:val="20"/>
        </w:rPr>
        <w:lastRenderedPageBreak/>
        <w:t>Figure 14: Labor vs non-labor cases</w:t>
      </w:r>
      <w:r w:rsidRPr="003403BC">
        <w:rPr>
          <w:rFonts w:ascii="Times New Roman" w:hAnsi="Times New Roman" w:cs="Times New Roman"/>
          <w:noProof/>
          <w:sz w:val="24"/>
          <w:szCs w:val="24"/>
          <w:lang w:val="es-AR" w:eastAsia="es-AR"/>
        </w:rPr>
        <w:drawing>
          <wp:inline distT="0" distB="0" distL="0" distR="0" wp14:anchorId="239EB789" wp14:editId="1AF3C023">
            <wp:extent cx="4348528" cy="318258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67796" cy="3196689"/>
                    </a:xfrm>
                    <a:prstGeom prst="rect">
                      <a:avLst/>
                    </a:prstGeom>
                    <a:noFill/>
                    <a:ln>
                      <a:noFill/>
                    </a:ln>
                  </pic:spPr>
                </pic:pic>
              </a:graphicData>
            </a:graphic>
          </wp:inline>
        </w:drawing>
      </w:r>
    </w:p>
    <w:p w14:paraId="109BE514" w14:textId="77777777" w:rsidR="00204055" w:rsidRPr="003403BC" w:rsidRDefault="00204055" w:rsidP="003403BC">
      <w:pPr>
        <w:spacing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To summarize these results, a parametric model was developed to synthesize some qualitative comparisons over case duration, particularly over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i/>
          <w:sz w:val="24"/>
          <w:szCs w:val="24"/>
        </w:rPr>
        <w:t xml:space="preserve"> </w:t>
      </w:r>
      <w:r w:rsidRPr="003403BC">
        <w:rPr>
          <w:rFonts w:ascii="Times New Roman" w:hAnsi="Times New Roman" w:cs="Times New Roman"/>
          <w:sz w:val="24"/>
          <w:szCs w:val="24"/>
        </w:rPr>
        <w:t xml:space="preserve">articles, jurisdictional origin and subject matter. For this, we assume that </w:t>
      </w:r>
      <w:r w:rsidRPr="003403BC">
        <w:rPr>
          <w:rFonts w:ascii="Times New Roman" w:hAnsi="Times New Roman" w:cs="Times New Roman"/>
          <w:i/>
          <w:sz w:val="24"/>
          <w:szCs w:val="24"/>
        </w:rPr>
        <w:t>T</w:t>
      </w:r>
      <w:r w:rsidRPr="003403BC">
        <w:rPr>
          <w:rFonts w:ascii="Times New Roman" w:hAnsi="Times New Roman" w:cs="Times New Roman"/>
          <w:sz w:val="24"/>
          <w:szCs w:val="24"/>
        </w:rPr>
        <w:t xml:space="preserve"> follows a lognormal distribution assumption, such that</w:t>
      </w:r>
      <m:oMath>
        <m:r>
          <w:rPr>
            <w:rFonts w:ascii="Cambria Math" w:hAnsi="Cambria Math" w:cs="Times New Roman"/>
            <w:sz w:val="24"/>
            <w:szCs w:val="24"/>
          </w:rPr>
          <m:t xml:space="preserve"> Y=</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T</m:t>
            </m:r>
          </m:e>
        </m:func>
        <m:r>
          <w:rPr>
            <w:rFonts w:ascii="Cambria Math" w:hAnsi="Cambria Math" w:cs="Times New Roman"/>
            <w:sz w:val="24"/>
            <w:szCs w:val="24"/>
          </w:rPr>
          <m:t>=α+σW</m:t>
        </m:r>
      </m:oMath>
      <w:r w:rsidRPr="003403BC">
        <w:rPr>
          <w:rFonts w:ascii="Times New Roman" w:eastAsiaTheme="minorEastAsia" w:hAnsi="Times New Roman" w:cs="Times New Roman"/>
          <w:sz w:val="24"/>
          <w:szCs w:val="24"/>
        </w:rPr>
        <w:t xml:space="preserve">, where </w:t>
      </w:r>
      <w:r w:rsidRPr="003403BC">
        <w:rPr>
          <w:rFonts w:ascii="Times New Roman" w:eastAsiaTheme="minorEastAsia" w:hAnsi="Times New Roman" w:cs="Times New Roman"/>
          <w:i/>
          <w:sz w:val="24"/>
          <w:szCs w:val="24"/>
        </w:rPr>
        <w:t>W</w:t>
      </w:r>
      <w:r w:rsidRPr="003403BC">
        <w:rPr>
          <w:rFonts w:ascii="Times New Roman" w:hAnsi="Times New Roman" w:cs="Times New Roman"/>
          <w:sz w:val="24"/>
          <w:szCs w:val="24"/>
        </w:rPr>
        <w:t xml:space="preserve"> is the standard normal distribution. This assumption is grounded on the non-linear path of the survival functions, as shown for civil vs criminal cases, and statistical tests on the parameters of the more general Gamma distribution estimates.</w:t>
      </w:r>
      <w:r w:rsidRPr="003403BC">
        <w:rPr>
          <w:rStyle w:val="EndnoteReference"/>
          <w:rFonts w:ascii="Times New Roman" w:hAnsi="Times New Roman" w:cs="Times New Roman"/>
          <w:sz w:val="24"/>
          <w:szCs w:val="24"/>
        </w:rPr>
        <w:endnoteReference w:id="46"/>
      </w:r>
      <w:r w:rsidRPr="003403BC">
        <w:rPr>
          <w:rFonts w:ascii="Times New Roman" w:hAnsi="Times New Roman" w:cs="Times New Roman"/>
          <w:sz w:val="24"/>
          <w:szCs w:val="24"/>
        </w:rPr>
        <w:t xml:space="preserve"> </w:t>
      </w:r>
    </w:p>
    <w:p w14:paraId="47AFDAE6" w14:textId="6328E6A1" w:rsidR="00204055" w:rsidRPr="003403BC" w:rsidRDefault="00204055" w:rsidP="003403BC">
      <w:pPr>
        <w:spacing w:line="480" w:lineRule="auto"/>
        <w:jc w:val="both"/>
        <w:rPr>
          <w:rFonts w:ascii="Times New Roman" w:hAnsi="Times New Roman" w:cs="Times New Roman"/>
          <w:sz w:val="24"/>
          <w:szCs w:val="24"/>
        </w:rPr>
      </w:pPr>
      <w:r w:rsidRPr="003403BC">
        <w:rPr>
          <w:rFonts w:ascii="Times New Roman" w:hAnsi="Times New Roman" w:cs="Times New Roman"/>
          <w:sz w:val="24"/>
          <w:szCs w:val="24"/>
        </w:rPr>
        <w:t xml:space="preserve">From the results of the model, depicted in detail in Table </w:t>
      </w:r>
      <w:r>
        <w:rPr>
          <w:rFonts w:ascii="Times New Roman" w:hAnsi="Times New Roman" w:cs="Times New Roman"/>
          <w:sz w:val="24"/>
          <w:szCs w:val="24"/>
        </w:rPr>
        <w:t>3</w:t>
      </w:r>
      <w:r w:rsidRPr="003403BC">
        <w:rPr>
          <w:rFonts w:ascii="Times New Roman" w:hAnsi="Times New Roman" w:cs="Times New Roman"/>
          <w:sz w:val="24"/>
          <w:szCs w:val="24"/>
        </w:rPr>
        <w:t xml:space="preserve"> below, time to decision is mostly affected by the area of the law the case relates to, as well as </w:t>
      </w:r>
      <w:r w:rsidRPr="003403BC">
        <w:rPr>
          <w:rFonts w:ascii="Times New Roman" w:hAnsi="Times New Roman" w:cs="Times New Roman"/>
          <w:sz w:val="24"/>
          <w:szCs w:val="24"/>
        </w:rPr>
        <w:lastRenderedPageBreak/>
        <w:t xml:space="preserve">some characteristics of the appellants. The statistical effects related to the particular articles from </w:t>
      </w:r>
      <w:proofErr w:type="spellStart"/>
      <w:r w:rsidRPr="003403BC">
        <w:rPr>
          <w:rFonts w:ascii="Times New Roman" w:hAnsi="Times New Roman" w:cs="Times New Roman"/>
          <w:i/>
          <w:sz w:val="24"/>
          <w:szCs w:val="24"/>
        </w:rPr>
        <w:t>Acordada</w:t>
      </w:r>
      <w:proofErr w:type="spellEnd"/>
      <w:r w:rsidRPr="003403BC">
        <w:rPr>
          <w:rFonts w:ascii="Times New Roman" w:hAnsi="Times New Roman" w:cs="Times New Roman"/>
          <w:sz w:val="24"/>
          <w:szCs w:val="24"/>
        </w:rPr>
        <w:t xml:space="preserve"> cited as errors diminishes when controlling for area of the law and the characteristics of appellants: only Article 1 is associated with a longer duration, as compared to when any other article is cited, by 28 days on average, and the effect remains significant at the 95 percent confidence level. Neither the source of the case, the type or gender of appellants or a REX </w:t>
      </w:r>
      <w:proofErr w:type="gramStart"/>
      <w:r w:rsidRPr="003403BC">
        <w:rPr>
          <w:rFonts w:ascii="Times New Roman" w:hAnsi="Times New Roman" w:cs="Times New Roman"/>
          <w:sz w:val="24"/>
          <w:szCs w:val="24"/>
        </w:rPr>
        <w:t>seem</w:t>
      </w:r>
      <w:proofErr w:type="gramEnd"/>
      <w:r w:rsidRPr="003403BC">
        <w:rPr>
          <w:rFonts w:ascii="Times New Roman" w:hAnsi="Times New Roman" w:cs="Times New Roman"/>
          <w:sz w:val="24"/>
          <w:szCs w:val="24"/>
        </w:rPr>
        <w:t xml:space="preserve"> to affect duration in a statistically significant way. Cases involving labor or public law are more likely than others to be decided at a later point by 92 and 36 days respectively, as compared to overall the median time, while tort law cases are more likely to be resolved sooner by 36 days. The dynamics of criminal with respect to civil cases, as suggested by Figure 1</w:t>
      </w:r>
      <w:r w:rsidR="00657730">
        <w:rPr>
          <w:rFonts w:ascii="Times New Roman" w:hAnsi="Times New Roman" w:cs="Times New Roman"/>
          <w:sz w:val="24"/>
          <w:szCs w:val="24"/>
        </w:rPr>
        <w:t>2</w:t>
      </w:r>
      <w:r w:rsidRPr="003403BC">
        <w:rPr>
          <w:rFonts w:ascii="Times New Roman" w:hAnsi="Times New Roman" w:cs="Times New Roman"/>
          <w:sz w:val="24"/>
          <w:szCs w:val="24"/>
        </w:rPr>
        <w:t xml:space="preserve">, involves a trend reversion after 280 days: criminal cases last longer unresolved up to this point in time, given the higher survival probability vis-a-vis civil cases, but then the probability of survival decreases at a faster pace, making criminal cases much more likely to be decided in comparison to civil cases. Finally, these results are robust across distributional assumptions for the parametric specification, as detailed in Table </w:t>
      </w:r>
      <w:r>
        <w:rPr>
          <w:rFonts w:ascii="Times New Roman" w:hAnsi="Times New Roman" w:cs="Times New Roman"/>
          <w:sz w:val="24"/>
          <w:szCs w:val="24"/>
        </w:rPr>
        <w:t>4</w:t>
      </w:r>
      <w:r w:rsidRPr="003403BC">
        <w:rPr>
          <w:rFonts w:ascii="Times New Roman" w:hAnsi="Times New Roman" w:cs="Times New Roman"/>
          <w:sz w:val="24"/>
          <w:szCs w:val="24"/>
        </w:rPr>
        <w:t>.</w:t>
      </w:r>
    </w:p>
    <w:p w14:paraId="406D90F5" w14:textId="77777777" w:rsidR="00204055" w:rsidRPr="00623015" w:rsidRDefault="00204055" w:rsidP="00D16397">
      <w:pPr>
        <w:spacing w:line="480" w:lineRule="auto"/>
        <w:rPr>
          <w:rFonts w:ascii="Times New Roman" w:hAnsi="Times New Roman" w:cs="Times New Roman"/>
          <w:b/>
          <w:sz w:val="20"/>
          <w:szCs w:val="20"/>
        </w:rPr>
      </w:pPr>
      <w:r w:rsidRPr="00623015">
        <w:rPr>
          <w:rFonts w:ascii="Times New Roman" w:hAnsi="Times New Roman" w:cs="Times New Roman"/>
          <w:b/>
          <w:sz w:val="20"/>
          <w:szCs w:val="20"/>
        </w:rPr>
        <w:t>Table 3: Parametric model for case durations</w:t>
      </w:r>
    </w:p>
    <w:tbl>
      <w:tblPr>
        <w:tblW w:w="5000" w:type="pct"/>
        <w:tblLook w:val="04A0" w:firstRow="1" w:lastRow="0" w:firstColumn="1" w:lastColumn="0" w:noHBand="0" w:noVBand="1"/>
      </w:tblPr>
      <w:tblGrid>
        <w:gridCol w:w="3359"/>
        <w:gridCol w:w="955"/>
        <w:gridCol w:w="955"/>
        <w:gridCol w:w="955"/>
        <w:gridCol w:w="957"/>
        <w:gridCol w:w="955"/>
      </w:tblGrid>
      <w:tr w:rsidR="00204055" w:rsidRPr="00E81CC3" w14:paraId="042B6947" w14:textId="77777777" w:rsidTr="000D1E0B">
        <w:trPr>
          <w:trHeight w:val="20"/>
        </w:trPr>
        <w:tc>
          <w:tcPr>
            <w:tcW w:w="2064" w:type="pct"/>
            <w:tcBorders>
              <w:top w:val="single" w:sz="8" w:space="0" w:color="auto"/>
              <w:left w:val="nil"/>
              <w:bottom w:val="nil"/>
              <w:right w:val="nil"/>
            </w:tcBorders>
            <w:shd w:val="clear" w:color="auto" w:fill="auto"/>
            <w:noWrap/>
            <w:vAlign w:val="center"/>
            <w:hideMark/>
          </w:tcPr>
          <w:p w14:paraId="465ED3F5" w14:textId="77777777" w:rsidR="00204055" w:rsidRPr="00E81CC3" w:rsidRDefault="00204055" w:rsidP="000D1E0B">
            <w:pPr>
              <w:spacing w:after="0" w:line="240" w:lineRule="auto"/>
              <w:rPr>
                <w:rFonts w:ascii="Garamond" w:eastAsia="Times New Roman" w:hAnsi="Garamond" w:cs="Times New Roman"/>
                <w:b/>
                <w:bCs/>
                <w:color w:val="000000"/>
                <w:sz w:val="14"/>
                <w:szCs w:val="16"/>
              </w:rPr>
            </w:pPr>
            <w:r w:rsidRPr="00E81CC3">
              <w:rPr>
                <w:rFonts w:ascii="Garamond" w:eastAsia="Times New Roman" w:hAnsi="Garamond" w:cs="Times New Roman"/>
                <w:b/>
                <w:bCs/>
                <w:color w:val="000000"/>
                <w:sz w:val="14"/>
                <w:szCs w:val="16"/>
              </w:rPr>
              <w:t xml:space="preserve">Dependent variable: Time to decision </w:t>
            </w:r>
            <w:r w:rsidRPr="00E81CC3">
              <w:rPr>
                <w:rFonts w:ascii="Garamond" w:eastAsia="Times New Roman" w:hAnsi="Garamond" w:cs="Times New Roman"/>
                <w:b/>
                <w:bCs/>
                <w:i/>
                <w:iCs/>
                <w:color w:val="000000"/>
                <w:sz w:val="14"/>
                <w:szCs w:val="16"/>
              </w:rPr>
              <w:t>t</w:t>
            </w:r>
          </w:p>
        </w:tc>
        <w:tc>
          <w:tcPr>
            <w:tcW w:w="2936" w:type="pct"/>
            <w:gridSpan w:val="5"/>
            <w:tcBorders>
              <w:top w:val="single" w:sz="8" w:space="0" w:color="auto"/>
              <w:left w:val="nil"/>
              <w:bottom w:val="nil"/>
              <w:right w:val="nil"/>
            </w:tcBorders>
            <w:shd w:val="clear" w:color="auto" w:fill="auto"/>
            <w:noWrap/>
            <w:vAlign w:val="center"/>
            <w:hideMark/>
          </w:tcPr>
          <w:p w14:paraId="3EF62663"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Specification</w:t>
            </w:r>
          </w:p>
        </w:tc>
      </w:tr>
      <w:tr w:rsidR="00204055" w:rsidRPr="00E81CC3" w14:paraId="2B8CFC73" w14:textId="77777777" w:rsidTr="000D1E0B">
        <w:trPr>
          <w:trHeight w:val="20"/>
        </w:trPr>
        <w:tc>
          <w:tcPr>
            <w:tcW w:w="2064" w:type="pct"/>
            <w:tcBorders>
              <w:top w:val="nil"/>
              <w:left w:val="nil"/>
              <w:bottom w:val="nil"/>
              <w:right w:val="nil"/>
            </w:tcBorders>
            <w:shd w:val="clear" w:color="auto" w:fill="auto"/>
            <w:noWrap/>
            <w:vAlign w:val="center"/>
            <w:hideMark/>
          </w:tcPr>
          <w:p w14:paraId="10727CF2"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Independent variables:</w:t>
            </w:r>
          </w:p>
        </w:tc>
        <w:tc>
          <w:tcPr>
            <w:tcW w:w="587" w:type="pct"/>
            <w:tcBorders>
              <w:top w:val="nil"/>
              <w:left w:val="nil"/>
              <w:bottom w:val="nil"/>
              <w:right w:val="nil"/>
            </w:tcBorders>
            <w:shd w:val="clear" w:color="auto" w:fill="auto"/>
            <w:noWrap/>
            <w:vAlign w:val="center"/>
            <w:hideMark/>
          </w:tcPr>
          <w:p w14:paraId="13301394"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w:t>
            </w:r>
          </w:p>
        </w:tc>
        <w:tc>
          <w:tcPr>
            <w:tcW w:w="587" w:type="pct"/>
            <w:tcBorders>
              <w:top w:val="nil"/>
              <w:left w:val="nil"/>
              <w:bottom w:val="nil"/>
              <w:right w:val="nil"/>
            </w:tcBorders>
            <w:shd w:val="clear" w:color="auto" w:fill="auto"/>
            <w:noWrap/>
            <w:vAlign w:val="center"/>
            <w:hideMark/>
          </w:tcPr>
          <w:p w14:paraId="366BC911"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(2)</w:t>
            </w:r>
          </w:p>
        </w:tc>
        <w:tc>
          <w:tcPr>
            <w:tcW w:w="587" w:type="pct"/>
            <w:tcBorders>
              <w:top w:val="nil"/>
              <w:left w:val="nil"/>
              <w:bottom w:val="nil"/>
              <w:right w:val="nil"/>
            </w:tcBorders>
            <w:shd w:val="clear" w:color="auto" w:fill="auto"/>
            <w:noWrap/>
            <w:vAlign w:val="center"/>
            <w:hideMark/>
          </w:tcPr>
          <w:p w14:paraId="600D62C5"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(3)</w:t>
            </w:r>
          </w:p>
        </w:tc>
        <w:tc>
          <w:tcPr>
            <w:tcW w:w="587" w:type="pct"/>
            <w:tcBorders>
              <w:top w:val="nil"/>
              <w:left w:val="nil"/>
              <w:bottom w:val="nil"/>
              <w:right w:val="nil"/>
            </w:tcBorders>
            <w:shd w:val="clear" w:color="auto" w:fill="auto"/>
            <w:noWrap/>
            <w:vAlign w:val="center"/>
            <w:hideMark/>
          </w:tcPr>
          <w:p w14:paraId="7C931859"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(4)</w:t>
            </w:r>
          </w:p>
        </w:tc>
        <w:tc>
          <w:tcPr>
            <w:tcW w:w="587" w:type="pct"/>
            <w:tcBorders>
              <w:top w:val="nil"/>
              <w:left w:val="nil"/>
              <w:bottom w:val="nil"/>
              <w:right w:val="nil"/>
            </w:tcBorders>
            <w:shd w:val="clear" w:color="auto" w:fill="auto"/>
            <w:noWrap/>
            <w:vAlign w:val="center"/>
            <w:hideMark/>
          </w:tcPr>
          <w:p w14:paraId="321A070B"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(5)</w:t>
            </w:r>
          </w:p>
        </w:tc>
      </w:tr>
      <w:tr w:rsidR="00204055" w:rsidRPr="00E81CC3" w14:paraId="581869B9" w14:textId="77777777" w:rsidTr="000D1E0B">
        <w:trPr>
          <w:trHeight w:val="20"/>
        </w:trPr>
        <w:tc>
          <w:tcPr>
            <w:tcW w:w="2064" w:type="pct"/>
            <w:tcBorders>
              <w:top w:val="nil"/>
              <w:left w:val="nil"/>
              <w:bottom w:val="nil"/>
              <w:right w:val="nil"/>
            </w:tcBorders>
            <w:shd w:val="clear" w:color="auto" w:fill="auto"/>
            <w:noWrap/>
            <w:vAlign w:val="center"/>
            <w:hideMark/>
          </w:tcPr>
          <w:p w14:paraId="5ABD9E3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587" w:type="pct"/>
            <w:tcBorders>
              <w:top w:val="nil"/>
              <w:left w:val="nil"/>
              <w:bottom w:val="nil"/>
              <w:right w:val="nil"/>
            </w:tcBorders>
            <w:shd w:val="clear" w:color="auto" w:fill="auto"/>
            <w:noWrap/>
            <w:vAlign w:val="center"/>
            <w:hideMark/>
          </w:tcPr>
          <w:p w14:paraId="376CA1E4" w14:textId="77777777" w:rsidR="00204055" w:rsidRPr="00E81CC3" w:rsidRDefault="00204055" w:rsidP="000D1E0B">
            <w:pPr>
              <w:spacing w:after="0" w:line="240" w:lineRule="auto"/>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5D8B7AD9"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4AF4BA90"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29A5F716"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5F04D97D"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72382769" w14:textId="77777777" w:rsidTr="000D1E0B">
        <w:trPr>
          <w:trHeight w:val="20"/>
        </w:trPr>
        <w:tc>
          <w:tcPr>
            <w:tcW w:w="2651" w:type="pct"/>
            <w:gridSpan w:val="2"/>
            <w:tcBorders>
              <w:top w:val="nil"/>
              <w:left w:val="nil"/>
              <w:bottom w:val="nil"/>
              <w:right w:val="nil"/>
            </w:tcBorders>
            <w:shd w:val="clear" w:color="auto" w:fill="auto"/>
            <w:noWrap/>
            <w:vAlign w:val="center"/>
            <w:hideMark/>
          </w:tcPr>
          <w:p w14:paraId="3B9CCBD4"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r w:rsidRPr="00E81CC3">
              <w:rPr>
                <w:rFonts w:ascii="Garamond" w:eastAsia="Times New Roman" w:hAnsi="Garamond" w:cs="Times New Roman"/>
                <w:i/>
                <w:iCs/>
                <w:color w:val="000000"/>
                <w:sz w:val="14"/>
                <w:szCs w:val="16"/>
              </w:rPr>
              <w:t>Articled cited as formal errors (Base: Other article cited)</w:t>
            </w:r>
          </w:p>
        </w:tc>
        <w:tc>
          <w:tcPr>
            <w:tcW w:w="587" w:type="pct"/>
            <w:tcBorders>
              <w:top w:val="nil"/>
              <w:left w:val="nil"/>
              <w:bottom w:val="nil"/>
              <w:right w:val="nil"/>
            </w:tcBorders>
            <w:shd w:val="clear" w:color="auto" w:fill="auto"/>
            <w:noWrap/>
            <w:vAlign w:val="bottom"/>
            <w:hideMark/>
          </w:tcPr>
          <w:p w14:paraId="094453E5"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p>
        </w:tc>
        <w:tc>
          <w:tcPr>
            <w:tcW w:w="587" w:type="pct"/>
            <w:tcBorders>
              <w:top w:val="nil"/>
              <w:left w:val="nil"/>
              <w:bottom w:val="nil"/>
              <w:right w:val="nil"/>
            </w:tcBorders>
            <w:shd w:val="clear" w:color="auto" w:fill="auto"/>
            <w:noWrap/>
            <w:vAlign w:val="bottom"/>
            <w:hideMark/>
          </w:tcPr>
          <w:p w14:paraId="1D531D6F" w14:textId="77777777" w:rsidR="00204055" w:rsidRPr="00E81CC3" w:rsidRDefault="00204055" w:rsidP="000D1E0B">
            <w:pPr>
              <w:spacing w:after="0" w:line="240" w:lineRule="auto"/>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bottom"/>
            <w:hideMark/>
          </w:tcPr>
          <w:p w14:paraId="189CE95E" w14:textId="77777777" w:rsidR="00204055" w:rsidRPr="00E81CC3" w:rsidRDefault="00204055" w:rsidP="000D1E0B">
            <w:pPr>
              <w:spacing w:after="0" w:line="240" w:lineRule="auto"/>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bottom"/>
            <w:hideMark/>
          </w:tcPr>
          <w:p w14:paraId="56B17DE9" w14:textId="77777777" w:rsidR="00204055" w:rsidRPr="00E81CC3" w:rsidRDefault="00204055" w:rsidP="000D1E0B">
            <w:pPr>
              <w:spacing w:after="0" w:line="240" w:lineRule="auto"/>
              <w:rPr>
                <w:rFonts w:ascii="Garamond" w:eastAsia="Times New Roman" w:hAnsi="Garamond" w:cs="Times New Roman"/>
                <w:sz w:val="14"/>
                <w:szCs w:val="20"/>
              </w:rPr>
            </w:pPr>
          </w:p>
        </w:tc>
      </w:tr>
      <w:tr w:rsidR="00204055" w:rsidRPr="00E81CC3" w14:paraId="3AF2E049" w14:textId="77777777" w:rsidTr="000D1E0B">
        <w:trPr>
          <w:trHeight w:val="20"/>
        </w:trPr>
        <w:tc>
          <w:tcPr>
            <w:tcW w:w="2064" w:type="pct"/>
            <w:tcBorders>
              <w:top w:val="nil"/>
              <w:left w:val="nil"/>
              <w:bottom w:val="nil"/>
              <w:right w:val="nil"/>
            </w:tcBorders>
            <w:shd w:val="clear" w:color="auto" w:fill="auto"/>
            <w:noWrap/>
            <w:vAlign w:val="center"/>
            <w:hideMark/>
          </w:tcPr>
          <w:p w14:paraId="6F4CEA31"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Art 1 cited</w:t>
            </w:r>
          </w:p>
        </w:tc>
        <w:tc>
          <w:tcPr>
            <w:tcW w:w="587" w:type="pct"/>
            <w:tcBorders>
              <w:top w:val="nil"/>
              <w:left w:val="nil"/>
              <w:bottom w:val="nil"/>
              <w:right w:val="nil"/>
            </w:tcBorders>
            <w:shd w:val="clear" w:color="auto" w:fill="auto"/>
            <w:noWrap/>
            <w:vAlign w:val="center"/>
            <w:hideMark/>
          </w:tcPr>
          <w:p w14:paraId="74C14E29"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0.136*</w:t>
            </w:r>
          </w:p>
        </w:tc>
        <w:tc>
          <w:tcPr>
            <w:tcW w:w="587" w:type="pct"/>
            <w:tcBorders>
              <w:top w:val="nil"/>
              <w:left w:val="nil"/>
              <w:bottom w:val="nil"/>
              <w:right w:val="nil"/>
            </w:tcBorders>
            <w:shd w:val="clear" w:color="auto" w:fill="auto"/>
            <w:noWrap/>
            <w:vAlign w:val="center"/>
            <w:hideMark/>
          </w:tcPr>
          <w:p w14:paraId="36E07E8B"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0.163**</w:t>
            </w:r>
          </w:p>
        </w:tc>
        <w:tc>
          <w:tcPr>
            <w:tcW w:w="587" w:type="pct"/>
            <w:tcBorders>
              <w:top w:val="nil"/>
              <w:left w:val="nil"/>
              <w:bottom w:val="nil"/>
              <w:right w:val="nil"/>
            </w:tcBorders>
            <w:shd w:val="clear" w:color="auto" w:fill="auto"/>
            <w:noWrap/>
            <w:vAlign w:val="center"/>
            <w:hideMark/>
          </w:tcPr>
          <w:p w14:paraId="5D6379E1"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0.169**</w:t>
            </w:r>
          </w:p>
        </w:tc>
        <w:tc>
          <w:tcPr>
            <w:tcW w:w="587" w:type="pct"/>
            <w:tcBorders>
              <w:top w:val="nil"/>
              <w:left w:val="nil"/>
              <w:bottom w:val="nil"/>
              <w:right w:val="nil"/>
            </w:tcBorders>
            <w:shd w:val="clear" w:color="auto" w:fill="auto"/>
            <w:noWrap/>
            <w:vAlign w:val="center"/>
            <w:hideMark/>
          </w:tcPr>
          <w:p w14:paraId="4C478F58"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0.126**</w:t>
            </w:r>
          </w:p>
        </w:tc>
        <w:tc>
          <w:tcPr>
            <w:tcW w:w="587" w:type="pct"/>
            <w:tcBorders>
              <w:top w:val="nil"/>
              <w:left w:val="nil"/>
              <w:bottom w:val="nil"/>
              <w:right w:val="nil"/>
            </w:tcBorders>
            <w:shd w:val="clear" w:color="auto" w:fill="auto"/>
            <w:noWrap/>
            <w:vAlign w:val="center"/>
            <w:hideMark/>
          </w:tcPr>
          <w:p w14:paraId="7052FE4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0.093** </w:t>
            </w:r>
          </w:p>
        </w:tc>
      </w:tr>
      <w:tr w:rsidR="00204055" w:rsidRPr="00E81CC3" w14:paraId="6D5F572B" w14:textId="77777777" w:rsidTr="000D1E0B">
        <w:trPr>
          <w:trHeight w:val="20"/>
        </w:trPr>
        <w:tc>
          <w:tcPr>
            <w:tcW w:w="2064" w:type="pct"/>
            <w:tcBorders>
              <w:top w:val="nil"/>
              <w:left w:val="nil"/>
              <w:bottom w:val="nil"/>
              <w:right w:val="nil"/>
            </w:tcBorders>
            <w:shd w:val="clear" w:color="auto" w:fill="auto"/>
            <w:noWrap/>
            <w:vAlign w:val="center"/>
            <w:hideMark/>
          </w:tcPr>
          <w:p w14:paraId="1293245E"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Art 2 cited</w:t>
            </w:r>
          </w:p>
        </w:tc>
        <w:tc>
          <w:tcPr>
            <w:tcW w:w="587" w:type="pct"/>
            <w:tcBorders>
              <w:top w:val="nil"/>
              <w:left w:val="nil"/>
              <w:bottom w:val="nil"/>
              <w:right w:val="nil"/>
            </w:tcBorders>
            <w:shd w:val="clear" w:color="auto" w:fill="auto"/>
            <w:noWrap/>
            <w:vAlign w:val="center"/>
            <w:hideMark/>
          </w:tcPr>
          <w:p w14:paraId="31E6E771"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-0.174</w:t>
            </w:r>
          </w:p>
        </w:tc>
        <w:tc>
          <w:tcPr>
            <w:tcW w:w="587" w:type="pct"/>
            <w:tcBorders>
              <w:top w:val="nil"/>
              <w:left w:val="nil"/>
              <w:bottom w:val="nil"/>
              <w:right w:val="nil"/>
            </w:tcBorders>
            <w:shd w:val="clear" w:color="auto" w:fill="auto"/>
            <w:noWrap/>
            <w:vAlign w:val="center"/>
            <w:hideMark/>
          </w:tcPr>
          <w:p w14:paraId="0249A3DC"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-0.19</w:t>
            </w:r>
          </w:p>
        </w:tc>
        <w:tc>
          <w:tcPr>
            <w:tcW w:w="587" w:type="pct"/>
            <w:tcBorders>
              <w:top w:val="nil"/>
              <w:left w:val="nil"/>
              <w:bottom w:val="nil"/>
              <w:right w:val="nil"/>
            </w:tcBorders>
            <w:shd w:val="clear" w:color="auto" w:fill="auto"/>
            <w:noWrap/>
            <w:vAlign w:val="center"/>
            <w:hideMark/>
          </w:tcPr>
          <w:p w14:paraId="5E1FDF2D"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-0.202</w:t>
            </w:r>
          </w:p>
        </w:tc>
        <w:tc>
          <w:tcPr>
            <w:tcW w:w="587" w:type="pct"/>
            <w:tcBorders>
              <w:top w:val="nil"/>
              <w:left w:val="nil"/>
              <w:bottom w:val="nil"/>
              <w:right w:val="nil"/>
            </w:tcBorders>
            <w:shd w:val="clear" w:color="auto" w:fill="auto"/>
            <w:noWrap/>
            <w:vAlign w:val="center"/>
            <w:hideMark/>
          </w:tcPr>
          <w:p w14:paraId="07C19A4B"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-0.137</w:t>
            </w:r>
          </w:p>
        </w:tc>
        <w:tc>
          <w:tcPr>
            <w:tcW w:w="587" w:type="pct"/>
            <w:tcBorders>
              <w:top w:val="nil"/>
              <w:left w:val="nil"/>
              <w:bottom w:val="nil"/>
              <w:right w:val="nil"/>
            </w:tcBorders>
            <w:shd w:val="clear" w:color="auto" w:fill="auto"/>
            <w:noWrap/>
            <w:vAlign w:val="center"/>
            <w:hideMark/>
          </w:tcPr>
          <w:p w14:paraId="2948EAAA"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-0.069</w:t>
            </w:r>
          </w:p>
        </w:tc>
      </w:tr>
      <w:tr w:rsidR="00204055" w:rsidRPr="00E81CC3" w14:paraId="748F6DB5" w14:textId="77777777" w:rsidTr="000D1E0B">
        <w:trPr>
          <w:trHeight w:val="20"/>
        </w:trPr>
        <w:tc>
          <w:tcPr>
            <w:tcW w:w="2064" w:type="pct"/>
            <w:tcBorders>
              <w:top w:val="nil"/>
              <w:left w:val="nil"/>
              <w:bottom w:val="nil"/>
              <w:right w:val="nil"/>
            </w:tcBorders>
            <w:shd w:val="clear" w:color="auto" w:fill="auto"/>
            <w:noWrap/>
            <w:vAlign w:val="center"/>
            <w:hideMark/>
          </w:tcPr>
          <w:p w14:paraId="7D9FFD89"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Art 3 cited</w:t>
            </w:r>
          </w:p>
        </w:tc>
        <w:tc>
          <w:tcPr>
            <w:tcW w:w="587" w:type="pct"/>
            <w:tcBorders>
              <w:top w:val="nil"/>
              <w:left w:val="nil"/>
              <w:bottom w:val="nil"/>
              <w:right w:val="nil"/>
            </w:tcBorders>
            <w:shd w:val="clear" w:color="auto" w:fill="auto"/>
            <w:noWrap/>
            <w:vAlign w:val="center"/>
            <w:hideMark/>
          </w:tcPr>
          <w:p w14:paraId="7DCE66C7"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-0.329*</w:t>
            </w:r>
          </w:p>
        </w:tc>
        <w:tc>
          <w:tcPr>
            <w:tcW w:w="587" w:type="pct"/>
            <w:tcBorders>
              <w:top w:val="nil"/>
              <w:left w:val="nil"/>
              <w:bottom w:val="nil"/>
              <w:right w:val="nil"/>
            </w:tcBorders>
            <w:shd w:val="clear" w:color="auto" w:fill="auto"/>
            <w:noWrap/>
            <w:vAlign w:val="center"/>
            <w:hideMark/>
          </w:tcPr>
          <w:p w14:paraId="7249E3CA"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-0.344*</w:t>
            </w:r>
          </w:p>
        </w:tc>
        <w:tc>
          <w:tcPr>
            <w:tcW w:w="587" w:type="pct"/>
            <w:tcBorders>
              <w:top w:val="nil"/>
              <w:left w:val="nil"/>
              <w:bottom w:val="nil"/>
              <w:right w:val="nil"/>
            </w:tcBorders>
            <w:shd w:val="clear" w:color="auto" w:fill="auto"/>
            <w:noWrap/>
            <w:vAlign w:val="center"/>
            <w:hideMark/>
          </w:tcPr>
          <w:p w14:paraId="17B4B432"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-0.335*</w:t>
            </w:r>
          </w:p>
        </w:tc>
        <w:tc>
          <w:tcPr>
            <w:tcW w:w="587" w:type="pct"/>
            <w:tcBorders>
              <w:top w:val="nil"/>
              <w:left w:val="nil"/>
              <w:bottom w:val="nil"/>
              <w:right w:val="nil"/>
            </w:tcBorders>
            <w:shd w:val="clear" w:color="auto" w:fill="auto"/>
            <w:noWrap/>
            <w:vAlign w:val="center"/>
            <w:hideMark/>
          </w:tcPr>
          <w:p w14:paraId="0A71A6BA"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-0.207</w:t>
            </w:r>
          </w:p>
        </w:tc>
        <w:tc>
          <w:tcPr>
            <w:tcW w:w="587" w:type="pct"/>
            <w:tcBorders>
              <w:top w:val="nil"/>
              <w:left w:val="nil"/>
              <w:bottom w:val="nil"/>
              <w:right w:val="nil"/>
            </w:tcBorders>
            <w:shd w:val="clear" w:color="auto" w:fill="auto"/>
            <w:noWrap/>
            <w:vAlign w:val="center"/>
            <w:hideMark/>
          </w:tcPr>
          <w:p w14:paraId="4515E8C4"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-0.038</w:t>
            </w:r>
          </w:p>
        </w:tc>
      </w:tr>
      <w:tr w:rsidR="00204055" w:rsidRPr="00E81CC3" w14:paraId="553BE226" w14:textId="77777777" w:rsidTr="000D1E0B">
        <w:trPr>
          <w:trHeight w:val="20"/>
        </w:trPr>
        <w:tc>
          <w:tcPr>
            <w:tcW w:w="2064" w:type="pct"/>
            <w:tcBorders>
              <w:top w:val="nil"/>
              <w:left w:val="nil"/>
              <w:bottom w:val="nil"/>
              <w:right w:val="nil"/>
            </w:tcBorders>
            <w:shd w:val="clear" w:color="auto" w:fill="auto"/>
            <w:noWrap/>
            <w:vAlign w:val="center"/>
            <w:hideMark/>
          </w:tcPr>
          <w:p w14:paraId="3D70B609"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Art 4 cited</w:t>
            </w:r>
          </w:p>
        </w:tc>
        <w:tc>
          <w:tcPr>
            <w:tcW w:w="587" w:type="pct"/>
            <w:tcBorders>
              <w:top w:val="nil"/>
              <w:left w:val="nil"/>
              <w:bottom w:val="nil"/>
              <w:right w:val="nil"/>
            </w:tcBorders>
            <w:shd w:val="clear" w:color="auto" w:fill="auto"/>
            <w:noWrap/>
            <w:vAlign w:val="center"/>
            <w:hideMark/>
          </w:tcPr>
          <w:p w14:paraId="280445B9"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0.108*</w:t>
            </w:r>
          </w:p>
        </w:tc>
        <w:tc>
          <w:tcPr>
            <w:tcW w:w="587" w:type="pct"/>
            <w:tcBorders>
              <w:top w:val="nil"/>
              <w:left w:val="nil"/>
              <w:bottom w:val="nil"/>
              <w:right w:val="nil"/>
            </w:tcBorders>
            <w:shd w:val="clear" w:color="auto" w:fill="auto"/>
            <w:noWrap/>
            <w:vAlign w:val="center"/>
            <w:hideMark/>
          </w:tcPr>
          <w:p w14:paraId="46F38480"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0.086</w:t>
            </w:r>
          </w:p>
        </w:tc>
        <w:tc>
          <w:tcPr>
            <w:tcW w:w="587" w:type="pct"/>
            <w:tcBorders>
              <w:top w:val="nil"/>
              <w:left w:val="nil"/>
              <w:bottom w:val="nil"/>
              <w:right w:val="nil"/>
            </w:tcBorders>
            <w:shd w:val="clear" w:color="auto" w:fill="auto"/>
            <w:noWrap/>
            <w:vAlign w:val="center"/>
            <w:hideMark/>
          </w:tcPr>
          <w:p w14:paraId="072F087B"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0.089</w:t>
            </w:r>
          </w:p>
        </w:tc>
        <w:tc>
          <w:tcPr>
            <w:tcW w:w="587" w:type="pct"/>
            <w:tcBorders>
              <w:top w:val="nil"/>
              <w:left w:val="nil"/>
              <w:bottom w:val="nil"/>
              <w:right w:val="nil"/>
            </w:tcBorders>
            <w:shd w:val="clear" w:color="auto" w:fill="auto"/>
            <w:noWrap/>
            <w:vAlign w:val="center"/>
            <w:hideMark/>
          </w:tcPr>
          <w:p w14:paraId="32651254"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0.032</w:t>
            </w:r>
          </w:p>
        </w:tc>
        <w:tc>
          <w:tcPr>
            <w:tcW w:w="587" w:type="pct"/>
            <w:tcBorders>
              <w:top w:val="nil"/>
              <w:left w:val="nil"/>
              <w:bottom w:val="nil"/>
              <w:right w:val="nil"/>
            </w:tcBorders>
            <w:shd w:val="clear" w:color="auto" w:fill="auto"/>
            <w:noWrap/>
            <w:vAlign w:val="center"/>
            <w:hideMark/>
          </w:tcPr>
          <w:p w14:paraId="6A7CEA78"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-0.002</w:t>
            </w:r>
          </w:p>
        </w:tc>
      </w:tr>
      <w:tr w:rsidR="00204055" w:rsidRPr="00E81CC3" w14:paraId="3EE202B8" w14:textId="77777777" w:rsidTr="000D1E0B">
        <w:trPr>
          <w:trHeight w:val="20"/>
        </w:trPr>
        <w:tc>
          <w:tcPr>
            <w:tcW w:w="2064" w:type="pct"/>
            <w:tcBorders>
              <w:top w:val="nil"/>
              <w:left w:val="nil"/>
              <w:bottom w:val="nil"/>
              <w:right w:val="nil"/>
            </w:tcBorders>
            <w:shd w:val="clear" w:color="auto" w:fill="auto"/>
            <w:noWrap/>
            <w:vAlign w:val="center"/>
            <w:hideMark/>
          </w:tcPr>
          <w:p w14:paraId="755F9C80"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Art 5 cited</w:t>
            </w:r>
          </w:p>
        </w:tc>
        <w:tc>
          <w:tcPr>
            <w:tcW w:w="587" w:type="pct"/>
            <w:tcBorders>
              <w:top w:val="nil"/>
              <w:left w:val="nil"/>
              <w:bottom w:val="nil"/>
              <w:right w:val="nil"/>
            </w:tcBorders>
            <w:shd w:val="clear" w:color="auto" w:fill="auto"/>
            <w:noWrap/>
            <w:vAlign w:val="center"/>
            <w:hideMark/>
          </w:tcPr>
          <w:p w14:paraId="7003CC63"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-0.23</w:t>
            </w:r>
          </w:p>
        </w:tc>
        <w:tc>
          <w:tcPr>
            <w:tcW w:w="587" w:type="pct"/>
            <w:tcBorders>
              <w:top w:val="nil"/>
              <w:left w:val="nil"/>
              <w:bottom w:val="nil"/>
              <w:right w:val="nil"/>
            </w:tcBorders>
            <w:shd w:val="clear" w:color="auto" w:fill="auto"/>
            <w:noWrap/>
            <w:vAlign w:val="center"/>
            <w:hideMark/>
          </w:tcPr>
          <w:p w14:paraId="5CC4F5C3"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-0.218</w:t>
            </w:r>
          </w:p>
        </w:tc>
        <w:tc>
          <w:tcPr>
            <w:tcW w:w="587" w:type="pct"/>
            <w:tcBorders>
              <w:top w:val="nil"/>
              <w:left w:val="nil"/>
              <w:bottom w:val="nil"/>
              <w:right w:val="nil"/>
            </w:tcBorders>
            <w:shd w:val="clear" w:color="auto" w:fill="auto"/>
            <w:noWrap/>
            <w:vAlign w:val="center"/>
            <w:hideMark/>
          </w:tcPr>
          <w:p w14:paraId="0B15272A"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-0.24</w:t>
            </w:r>
          </w:p>
        </w:tc>
        <w:tc>
          <w:tcPr>
            <w:tcW w:w="587" w:type="pct"/>
            <w:tcBorders>
              <w:top w:val="nil"/>
              <w:left w:val="nil"/>
              <w:bottom w:val="nil"/>
              <w:right w:val="nil"/>
            </w:tcBorders>
            <w:shd w:val="clear" w:color="auto" w:fill="auto"/>
            <w:noWrap/>
            <w:vAlign w:val="center"/>
            <w:hideMark/>
          </w:tcPr>
          <w:p w14:paraId="458C2A42"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-0.242</w:t>
            </w:r>
          </w:p>
        </w:tc>
        <w:tc>
          <w:tcPr>
            <w:tcW w:w="587" w:type="pct"/>
            <w:tcBorders>
              <w:top w:val="nil"/>
              <w:left w:val="nil"/>
              <w:bottom w:val="nil"/>
              <w:right w:val="nil"/>
            </w:tcBorders>
            <w:shd w:val="clear" w:color="auto" w:fill="auto"/>
            <w:noWrap/>
            <w:vAlign w:val="center"/>
            <w:hideMark/>
          </w:tcPr>
          <w:p w14:paraId="2D3E0211"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-0.139</w:t>
            </w:r>
          </w:p>
        </w:tc>
      </w:tr>
      <w:tr w:rsidR="00204055" w:rsidRPr="00E81CC3" w14:paraId="58AE9B8A" w14:textId="77777777" w:rsidTr="000D1E0B">
        <w:trPr>
          <w:trHeight w:val="20"/>
        </w:trPr>
        <w:tc>
          <w:tcPr>
            <w:tcW w:w="2064" w:type="pct"/>
            <w:tcBorders>
              <w:top w:val="nil"/>
              <w:left w:val="nil"/>
              <w:bottom w:val="nil"/>
              <w:right w:val="nil"/>
            </w:tcBorders>
            <w:shd w:val="clear" w:color="auto" w:fill="auto"/>
            <w:noWrap/>
            <w:vAlign w:val="center"/>
            <w:hideMark/>
          </w:tcPr>
          <w:p w14:paraId="7F8F1DB0"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Art 6 cited</w:t>
            </w:r>
          </w:p>
        </w:tc>
        <w:tc>
          <w:tcPr>
            <w:tcW w:w="587" w:type="pct"/>
            <w:tcBorders>
              <w:top w:val="nil"/>
              <w:left w:val="nil"/>
              <w:bottom w:val="nil"/>
              <w:right w:val="nil"/>
            </w:tcBorders>
            <w:shd w:val="clear" w:color="auto" w:fill="auto"/>
            <w:noWrap/>
            <w:vAlign w:val="center"/>
            <w:hideMark/>
          </w:tcPr>
          <w:p w14:paraId="3072E8C4"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0.178*</w:t>
            </w:r>
          </w:p>
        </w:tc>
        <w:tc>
          <w:tcPr>
            <w:tcW w:w="587" w:type="pct"/>
            <w:tcBorders>
              <w:top w:val="nil"/>
              <w:left w:val="nil"/>
              <w:bottom w:val="nil"/>
              <w:right w:val="nil"/>
            </w:tcBorders>
            <w:shd w:val="clear" w:color="auto" w:fill="auto"/>
            <w:noWrap/>
            <w:vAlign w:val="center"/>
            <w:hideMark/>
          </w:tcPr>
          <w:p w14:paraId="43587C8C"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0.163</w:t>
            </w:r>
          </w:p>
        </w:tc>
        <w:tc>
          <w:tcPr>
            <w:tcW w:w="587" w:type="pct"/>
            <w:tcBorders>
              <w:top w:val="nil"/>
              <w:left w:val="nil"/>
              <w:bottom w:val="nil"/>
              <w:right w:val="nil"/>
            </w:tcBorders>
            <w:shd w:val="clear" w:color="auto" w:fill="auto"/>
            <w:noWrap/>
            <w:vAlign w:val="center"/>
            <w:hideMark/>
          </w:tcPr>
          <w:p w14:paraId="34AEDC6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0.158</w:t>
            </w:r>
          </w:p>
        </w:tc>
        <w:tc>
          <w:tcPr>
            <w:tcW w:w="587" w:type="pct"/>
            <w:tcBorders>
              <w:top w:val="nil"/>
              <w:left w:val="nil"/>
              <w:bottom w:val="nil"/>
              <w:right w:val="nil"/>
            </w:tcBorders>
            <w:shd w:val="clear" w:color="auto" w:fill="auto"/>
            <w:noWrap/>
            <w:vAlign w:val="center"/>
            <w:hideMark/>
          </w:tcPr>
          <w:p w14:paraId="334B2C12"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0.035</w:t>
            </w:r>
          </w:p>
        </w:tc>
        <w:tc>
          <w:tcPr>
            <w:tcW w:w="587" w:type="pct"/>
            <w:tcBorders>
              <w:top w:val="nil"/>
              <w:left w:val="nil"/>
              <w:bottom w:val="nil"/>
              <w:right w:val="nil"/>
            </w:tcBorders>
            <w:shd w:val="clear" w:color="auto" w:fill="auto"/>
            <w:noWrap/>
            <w:vAlign w:val="center"/>
            <w:hideMark/>
          </w:tcPr>
          <w:p w14:paraId="65E68CA6"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0.077</w:t>
            </w:r>
          </w:p>
        </w:tc>
      </w:tr>
      <w:tr w:rsidR="00204055" w:rsidRPr="00E81CC3" w14:paraId="1C864BB9" w14:textId="77777777" w:rsidTr="000D1E0B">
        <w:trPr>
          <w:trHeight w:val="20"/>
        </w:trPr>
        <w:tc>
          <w:tcPr>
            <w:tcW w:w="2064" w:type="pct"/>
            <w:tcBorders>
              <w:top w:val="nil"/>
              <w:left w:val="nil"/>
              <w:bottom w:val="nil"/>
              <w:right w:val="nil"/>
            </w:tcBorders>
            <w:shd w:val="clear" w:color="auto" w:fill="auto"/>
            <w:noWrap/>
            <w:vAlign w:val="center"/>
            <w:hideMark/>
          </w:tcPr>
          <w:p w14:paraId="3D91D1CD"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Art 7 cited</w:t>
            </w:r>
          </w:p>
        </w:tc>
        <w:tc>
          <w:tcPr>
            <w:tcW w:w="587" w:type="pct"/>
            <w:tcBorders>
              <w:top w:val="nil"/>
              <w:left w:val="nil"/>
              <w:bottom w:val="nil"/>
              <w:right w:val="nil"/>
            </w:tcBorders>
            <w:shd w:val="clear" w:color="auto" w:fill="auto"/>
            <w:noWrap/>
            <w:vAlign w:val="center"/>
            <w:hideMark/>
          </w:tcPr>
          <w:p w14:paraId="1E2A890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-0.018</w:t>
            </w:r>
          </w:p>
        </w:tc>
        <w:tc>
          <w:tcPr>
            <w:tcW w:w="587" w:type="pct"/>
            <w:tcBorders>
              <w:top w:val="nil"/>
              <w:left w:val="nil"/>
              <w:bottom w:val="nil"/>
              <w:right w:val="nil"/>
            </w:tcBorders>
            <w:shd w:val="clear" w:color="auto" w:fill="auto"/>
            <w:noWrap/>
            <w:vAlign w:val="center"/>
            <w:hideMark/>
          </w:tcPr>
          <w:p w14:paraId="60D8A0EC"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-0.033</w:t>
            </w:r>
          </w:p>
        </w:tc>
        <w:tc>
          <w:tcPr>
            <w:tcW w:w="587" w:type="pct"/>
            <w:tcBorders>
              <w:top w:val="nil"/>
              <w:left w:val="nil"/>
              <w:bottom w:val="nil"/>
              <w:right w:val="nil"/>
            </w:tcBorders>
            <w:shd w:val="clear" w:color="auto" w:fill="auto"/>
            <w:noWrap/>
            <w:vAlign w:val="center"/>
            <w:hideMark/>
          </w:tcPr>
          <w:p w14:paraId="71A25878"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-0.028</w:t>
            </w:r>
          </w:p>
        </w:tc>
        <w:tc>
          <w:tcPr>
            <w:tcW w:w="587" w:type="pct"/>
            <w:tcBorders>
              <w:top w:val="nil"/>
              <w:left w:val="nil"/>
              <w:bottom w:val="nil"/>
              <w:right w:val="nil"/>
            </w:tcBorders>
            <w:shd w:val="clear" w:color="auto" w:fill="auto"/>
            <w:noWrap/>
            <w:vAlign w:val="center"/>
            <w:hideMark/>
          </w:tcPr>
          <w:p w14:paraId="7C28F285"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-0.009</w:t>
            </w:r>
          </w:p>
        </w:tc>
        <w:tc>
          <w:tcPr>
            <w:tcW w:w="587" w:type="pct"/>
            <w:tcBorders>
              <w:top w:val="nil"/>
              <w:left w:val="nil"/>
              <w:bottom w:val="nil"/>
              <w:right w:val="nil"/>
            </w:tcBorders>
            <w:shd w:val="clear" w:color="auto" w:fill="auto"/>
            <w:noWrap/>
            <w:vAlign w:val="center"/>
            <w:hideMark/>
          </w:tcPr>
          <w:p w14:paraId="49ECCD21"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-0.038</w:t>
            </w:r>
          </w:p>
        </w:tc>
      </w:tr>
      <w:tr w:rsidR="00204055" w:rsidRPr="00E81CC3" w14:paraId="77D363B8" w14:textId="77777777" w:rsidTr="000D1E0B">
        <w:trPr>
          <w:trHeight w:val="20"/>
        </w:trPr>
        <w:tc>
          <w:tcPr>
            <w:tcW w:w="2064" w:type="pct"/>
            <w:tcBorders>
              <w:top w:val="nil"/>
              <w:left w:val="nil"/>
              <w:bottom w:val="nil"/>
              <w:right w:val="nil"/>
            </w:tcBorders>
            <w:shd w:val="clear" w:color="auto" w:fill="auto"/>
            <w:noWrap/>
            <w:vAlign w:val="center"/>
            <w:hideMark/>
          </w:tcPr>
          <w:p w14:paraId="6713BECA"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587" w:type="pct"/>
            <w:tcBorders>
              <w:top w:val="nil"/>
              <w:left w:val="nil"/>
              <w:bottom w:val="nil"/>
              <w:right w:val="nil"/>
            </w:tcBorders>
            <w:shd w:val="clear" w:color="auto" w:fill="auto"/>
            <w:noWrap/>
            <w:vAlign w:val="center"/>
            <w:hideMark/>
          </w:tcPr>
          <w:p w14:paraId="7B8B2944" w14:textId="77777777" w:rsidR="00204055" w:rsidRPr="00E81CC3" w:rsidRDefault="00204055" w:rsidP="000D1E0B">
            <w:pPr>
              <w:spacing w:after="0" w:line="240" w:lineRule="auto"/>
              <w:ind w:firstLineChars="200" w:firstLine="280"/>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24BB0666"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35F131B9"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010D68AB"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7A750F28"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4EE5592C" w14:textId="77777777" w:rsidTr="000D1E0B">
        <w:trPr>
          <w:trHeight w:val="20"/>
        </w:trPr>
        <w:tc>
          <w:tcPr>
            <w:tcW w:w="2064" w:type="pct"/>
            <w:tcBorders>
              <w:top w:val="nil"/>
              <w:left w:val="nil"/>
              <w:bottom w:val="nil"/>
              <w:right w:val="nil"/>
            </w:tcBorders>
            <w:shd w:val="clear" w:color="auto" w:fill="auto"/>
            <w:noWrap/>
            <w:vAlign w:val="center"/>
            <w:hideMark/>
          </w:tcPr>
          <w:p w14:paraId="03A58EB2"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r w:rsidRPr="00E81CC3">
              <w:rPr>
                <w:rFonts w:ascii="Garamond" w:eastAsia="Times New Roman" w:hAnsi="Garamond" w:cs="Times New Roman"/>
                <w:i/>
                <w:iCs/>
                <w:color w:val="000000"/>
                <w:sz w:val="14"/>
                <w:szCs w:val="16"/>
              </w:rPr>
              <w:t>Source of case</w:t>
            </w:r>
          </w:p>
        </w:tc>
        <w:tc>
          <w:tcPr>
            <w:tcW w:w="587" w:type="pct"/>
            <w:tcBorders>
              <w:top w:val="nil"/>
              <w:left w:val="nil"/>
              <w:bottom w:val="nil"/>
              <w:right w:val="nil"/>
            </w:tcBorders>
            <w:shd w:val="clear" w:color="auto" w:fill="auto"/>
            <w:noWrap/>
            <w:vAlign w:val="center"/>
            <w:hideMark/>
          </w:tcPr>
          <w:p w14:paraId="015FF818"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p>
        </w:tc>
        <w:tc>
          <w:tcPr>
            <w:tcW w:w="587" w:type="pct"/>
            <w:tcBorders>
              <w:top w:val="nil"/>
              <w:left w:val="nil"/>
              <w:bottom w:val="nil"/>
              <w:right w:val="nil"/>
            </w:tcBorders>
            <w:shd w:val="clear" w:color="auto" w:fill="auto"/>
            <w:noWrap/>
            <w:vAlign w:val="center"/>
            <w:hideMark/>
          </w:tcPr>
          <w:p w14:paraId="59BD5163"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4EE8244C"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3AC55B0A"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404269E5"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1CC9A8FB" w14:textId="77777777" w:rsidTr="000D1E0B">
        <w:trPr>
          <w:trHeight w:val="20"/>
        </w:trPr>
        <w:tc>
          <w:tcPr>
            <w:tcW w:w="2064" w:type="pct"/>
            <w:tcBorders>
              <w:top w:val="nil"/>
              <w:left w:val="nil"/>
              <w:bottom w:val="nil"/>
              <w:right w:val="nil"/>
            </w:tcBorders>
            <w:shd w:val="clear" w:color="auto" w:fill="auto"/>
            <w:noWrap/>
            <w:vAlign w:val="center"/>
            <w:hideMark/>
          </w:tcPr>
          <w:p w14:paraId="4F9AC4CD"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lastRenderedPageBreak/>
              <w:t>=1 if case came from federal court</w:t>
            </w:r>
          </w:p>
        </w:tc>
        <w:tc>
          <w:tcPr>
            <w:tcW w:w="587" w:type="pct"/>
            <w:tcBorders>
              <w:top w:val="nil"/>
              <w:left w:val="nil"/>
              <w:bottom w:val="nil"/>
              <w:right w:val="nil"/>
            </w:tcBorders>
            <w:shd w:val="clear" w:color="auto" w:fill="auto"/>
            <w:noWrap/>
            <w:vAlign w:val="center"/>
            <w:hideMark/>
          </w:tcPr>
          <w:p w14:paraId="7F7CC1D0"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p>
        </w:tc>
        <w:tc>
          <w:tcPr>
            <w:tcW w:w="587" w:type="pct"/>
            <w:tcBorders>
              <w:top w:val="nil"/>
              <w:left w:val="nil"/>
              <w:bottom w:val="nil"/>
              <w:right w:val="nil"/>
            </w:tcBorders>
            <w:shd w:val="clear" w:color="auto" w:fill="auto"/>
            <w:noWrap/>
            <w:vAlign w:val="center"/>
            <w:hideMark/>
          </w:tcPr>
          <w:p w14:paraId="7024447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-0.191***</w:t>
            </w:r>
          </w:p>
        </w:tc>
        <w:tc>
          <w:tcPr>
            <w:tcW w:w="587" w:type="pct"/>
            <w:tcBorders>
              <w:top w:val="nil"/>
              <w:left w:val="nil"/>
              <w:bottom w:val="nil"/>
              <w:right w:val="nil"/>
            </w:tcBorders>
            <w:shd w:val="clear" w:color="auto" w:fill="auto"/>
            <w:noWrap/>
            <w:vAlign w:val="center"/>
            <w:hideMark/>
          </w:tcPr>
          <w:p w14:paraId="3A648066"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-0.168**</w:t>
            </w:r>
          </w:p>
        </w:tc>
        <w:tc>
          <w:tcPr>
            <w:tcW w:w="587" w:type="pct"/>
            <w:tcBorders>
              <w:top w:val="nil"/>
              <w:left w:val="nil"/>
              <w:bottom w:val="nil"/>
              <w:right w:val="nil"/>
            </w:tcBorders>
            <w:shd w:val="clear" w:color="auto" w:fill="auto"/>
            <w:noWrap/>
            <w:vAlign w:val="center"/>
            <w:hideMark/>
          </w:tcPr>
          <w:p w14:paraId="3C9E8ED0"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0.05</w:t>
            </w:r>
          </w:p>
        </w:tc>
        <w:tc>
          <w:tcPr>
            <w:tcW w:w="587" w:type="pct"/>
            <w:tcBorders>
              <w:top w:val="nil"/>
              <w:left w:val="nil"/>
              <w:bottom w:val="nil"/>
              <w:right w:val="nil"/>
            </w:tcBorders>
            <w:shd w:val="clear" w:color="auto" w:fill="auto"/>
            <w:noWrap/>
            <w:vAlign w:val="center"/>
            <w:hideMark/>
          </w:tcPr>
          <w:p w14:paraId="29D99F86"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w:t>
            </w:r>
          </w:p>
        </w:tc>
      </w:tr>
      <w:tr w:rsidR="00204055" w:rsidRPr="00E81CC3" w14:paraId="1D699E74" w14:textId="77777777" w:rsidTr="000D1E0B">
        <w:trPr>
          <w:trHeight w:val="20"/>
        </w:trPr>
        <w:tc>
          <w:tcPr>
            <w:tcW w:w="2064" w:type="pct"/>
            <w:tcBorders>
              <w:top w:val="nil"/>
              <w:left w:val="nil"/>
              <w:bottom w:val="nil"/>
              <w:right w:val="nil"/>
            </w:tcBorders>
            <w:shd w:val="clear" w:color="auto" w:fill="auto"/>
            <w:noWrap/>
            <w:vAlign w:val="center"/>
            <w:hideMark/>
          </w:tcPr>
          <w:p w14:paraId="7F645BBA"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case came from provincial court</w:t>
            </w:r>
          </w:p>
        </w:tc>
        <w:tc>
          <w:tcPr>
            <w:tcW w:w="587" w:type="pct"/>
            <w:tcBorders>
              <w:top w:val="nil"/>
              <w:left w:val="nil"/>
              <w:bottom w:val="nil"/>
              <w:right w:val="nil"/>
            </w:tcBorders>
            <w:shd w:val="clear" w:color="auto" w:fill="auto"/>
            <w:noWrap/>
            <w:vAlign w:val="center"/>
            <w:hideMark/>
          </w:tcPr>
          <w:p w14:paraId="481FF7C4"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p>
        </w:tc>
        <w:tc>
          <w:tcPr>
            <w:tcW w:w="587" w:type="pct"/>
            <w:tcBorders>
              <w:top w:val="nil"/>
              <w:left w:val="nil"/>
              <w:bottom w:val="nil"/>
              <w:right w:val="nil"/>
            </w:tcBorders>
            <w:shd w:val="clear" w:color="auto" w:fill="auto"/>
            <w:noWrap/>
            <w:vAlign w:val="center"/>
            <w:hideMark/>
          </w:tcPr>
          <w:p w14:paraId="0D70E429"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-0.008</w:t>
            </w:r>
          </w:p>
        </w:tc>
        <w:tc>
          <w:tcPr>
            <w:tcW w:w="587" w:type="pct"/>
            <w:tcBorders>
              <w:top w:val="nil"/>
              <w:left w:val="nil"/>
              <w:bottom w:val="nil"/>
              <w:right w:val="nil"/>
            </w:tcBorders>
            <w:shd w:val="clear" w:color="auto" w:fill="auto"/>
            <w:noWrap/>
            <w:vAlign w:val="center"/>
            <w:hideMark/>
          </w:tcPr>
          <w:p w14:paraId="3EEDB716"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w:t>
            </w:r>
          </w:p>
        </w:tc>
        <w:tc>
          <w:tcPr>
            <w:tcW w:w="587" w:type="pct"/>
            <w:tcBorders>
              <w:top w:val="nil"/>
              <w:left w:val="nil"/>
              <w:bottom w:val="nil"/>
              <w:right w:val="nil"/>
            </w:tcBorders>
            <w:shd w:val="clear" w:color="auto" w:fill="auto"/>
            <w:noWrap/>
            <w:vAlign w:val="center"/>
            <w:hideMark/>
          </w:tcPr>
          <w:p w14:paraId="409597B1"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0.081</w:t>
            </w:r>
          </w:p>
        </w:tc>
        <w:tc>
          <w:tcPr>
            <w:tcW w:w="587" w:type="pct"/>
            <w:tcBorders>
              <w:top w:val="nil"/>
              <w:left w:val="nil"/>
              <w:bottom w:val="nil"/>
              <w:right w:val="nil"/>
            </w:tcBorders>
            <w:shd w:val="clear" w:color="auto" w:fill="auto"/>
            <w:noWrap/>
            <w:vAlign w:val="center"/>
            <w:hideMark/>
          </w:tcPr>
          <w:p w14:paraId="45E92CD4"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0.045</w:t>
            </w:r>
          </w:p>
        </w:tc>
      </w:tr>
      <w:tr w:rsidR="00204055" w:rsidRPr="00E81CC3" w14:paraId="7474BA0C" w14:textId="77777777" w:rsidTr="000D1E0B">
        <w:trPr>
          <w:trHeight w:val="20"/>
        </w:trPr>
        <w:tc>
          <w:tcPr>
            <w:tcW w:w="2064" w:type="pct"/>
            <w:tcBorders>
              <w:top w:val="nil"/>
              <w:left w:val="nil"/>
              <w:bottom w:val="nil"/>
              <w:right w:val="nil"/>
            </w:tcBorders>
            <w:shd w:val="clear" w:color="auto" w:fill="auto"/>
            <w:noWrap/>
            <w:vAlign w:val="center"/>
            <w:hideMark/>
          </w:tcPr>
          <w:p w14:paraId="77F08F05"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587" w:type="pct"/>
            <w:tcBorders>
              <w:top w:val="nil"/>
              <w:left w:val="nil"/>
              <w:bottom w:val="nil"/>
              <w:right w:val="nil"/>
            </w:tcBorders>
            <w:shd w:val="clear" w:color="auto" w:fill="auto"/>
            <w:noWrap/>
            <w:vAlign w:val="center"/>
            <w:hideMark/>
          </w:tcPr>
          <w:p w14:paraId="62ABAC93" w14:textId="77777777" w:rsidR="00204055" w:rsidRPr="00E81CC3" w:rsidRDefault="00204055" w:rsidP="000D1E0B">
            <w:pPr>
              <w:spacing w:after="0" w:line="240" w:lineRule="auto"/>
              <w:ind w:firstLineChars="200" w:firstLine="280"/>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6F0863AF"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2FE51A13"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03261B28"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67EC6F3F"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429B8AEC" w14:textId="77777777" w:rsidTr="000D1E0B">
        <w:trPr>
          <w:trHeight w:val="20"/>
        </w:trPr>
        <w:tc>
          <w:tcPr>
            <w:tcW w:w="2064" w:type="pct"/>
            <w:tcBorders>
              <w:top w:val="nil"/>
              <w:left w:val="nil"/>
              <w:bottom w:val="nil"/>
              <w:right w:val="nil"/>
            </w:tcBorders>
            <w:shd w:val="clear" w:color="auto" w:fill="auto"/>
            <w:noWrap/>
            <w:vAlign w:val="center"/>
            <w:hideMark/>
          </w:tcPr>
          <w:p w14:paraId="3D12605C"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r w:rsidRPr="00E81CC3">
              <w:rPr>
                <w:rFonts w:ascii="Garamond" w:eastAsia="Times New Roman" w:hAnsi="Garamond" w:cs="Times New Roman"/>
                <w:i/>
                <w:iCs/>
                <w:color w:val="000000"/>
                <w:sz w:val="14"/>
                <w:szCs w:val="16"/>
              </w:rPr>
              <w:t>Appellant type and gender</w:t>
            </w:r>
          </w:p>
        </w:tc>
        <w:tc>
          <w:tcPr>
            <w:tcW w:w="587" w:type="pct"/>
            <w:tcBorders>
              <w:top w:val="nil"/>
              <w:left w:val="nil"/>
              <w:bottom w:val="nil"/>
              <w:right w:val="nil"/>
            </w:tcBorders>
            <w:shd w:val="clear" w:color="auto" w:fill="auto"/>
            <w:noWrap/>
            <w:vAlign w:val="center"/>
            <w:hideMark/>
          </w:tcPr>
          <w:p w14:paraId="050788F6"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p>
        </w:tc>
        <w:tc>
          <w:tcPr>
            <w:tcW w:w="587" w:type="pct"/>
            <w:tcBorders>
              <w:top w:val="nil"/>
              <w:left w:val="nil"/>
              <w:bottom w:val="nil"/>
              <w:right w:val="nil"/>
            </w:tcBorders>
            <w:shd w:val="clear" w:color="auto" w:fill="auto"/>
            <w:noWrap/>
            <w:vAlign w:val="center"/>
            <w:hideMark/>
          </w:tcPr>
          <w:p w14:paraId="0D1DE930"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4F87832B"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1CBFF352"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0AE65D72"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0406AF44" w14:textId="77777777" w:rsidTr="000D1E0B">
        <w:trPr>
          <w:trHeight w:val="20"/>
        </w:trPr>
        <w:tc>
          <w:tcPr>
            <w:tcW w:w="2064" w:type="pct"/>
            <w:tcBorders>
              <w:top w:val="nil"/>
              <w:left w:val="nil"/>
              <w:bottom w:val="nil"/>
              <w:right w:val="nil"/>
            </w:tcBorders>
            <w:shd w:val="clear" w:color="auto" w:fill="auto"/>
            <w:noWrap/>
            <w:vAlign w:val="center"/>
            <w:hideMark/>
          </w:tcPr>
          <w:p w14:paraId="642D5586"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all appellants are individuals</w:t>
            </w:r>
          </w:p>
        </w:tc>
        <w:tc>
          <w:tcPr>
            <w:tcW w:w="587" w:type="pct"/>
            <w:tcBorders>
              <w:top w:val="nil"/>
              <w:left w:val="nil"/>
              <w:bottom w:val="nil"/>
              <w:right w:val="nil"/>
            </w:tcBorders>
            <w:shd w:val="clear" w:color="auto" w:fill="auto"/>
            <w:noWrap/>
            <w:vAlign w:val="center"/>
            <w:hideMark/>
          </w:tcPr>
          <w:p w14:paraId="3A36F50F"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p>
        </w:tc>
        <w:tc>
          <w:tcPr>
            <w:tcW w:w="587" w:type="pct"/>
            <w:tcBorders>
              <w:top w:val="nil"/>
              <w:left w:val="nil"/>
              <w:bottom w:val="nil"/>
              <w:right w:val="nil"/>
            </w:tcBorders>
            <w:shd w:val="clear" w:color="auto" w:fill="auto"/>
            <w:noWrap/>
            <w:vAlign w:val="center"/>
            <w:hideMark/>
          </w:tcPr>
          <w:p w14:paraId="69641232"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3F1AE886"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0.118*</w:t>
            </w:r>
          </w:p>
        </w:tc>
        <w:tc>
          <w:tcPr>
            <w:tcW w:w="587" w:type="pct"/>
            <w:tcBorders>
              <w:top w:val="nil"/>
              <w:left w:val="nil"/>
              <w:bottom w:val="nil"/>
              <w:right w:val="nil"/>
            </w:tcBorders>
            <w:shd w:val="clear" w:color="auto" w:fill="auto"/>
            <w:noWrap/>
            <w:vAlign w:val="center"/>
            <w:hideMark/>
          </w:tcPr>
          <w:p w14:paraId="065726CA"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0.116**</w:t>
            </w:r>
          </w:p>
        </w:tc>
        <w:tc>
          <w:tcPr>
            <w:tcW w:w="587" w:type="pct"/>
            <w:tcBorders>
              <w:top w:val="nil"/>
              <w:left w:val="nil"/>
              <w:bottom w:val="nil"/>
              <w:right w:val="nil"/>
            </w:tcBorders>
            <w:shd w:val="clear" w:color="auto" w:fill="auto"/>
            <w:noWrap/>
            <w:vAlign w:val="center"/>
            <w:hideMark/>
          </w:tcPr>
          <w:p w14:paraId="5877B925"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0.021</w:t>
            </w:r>
          </w:p>
        </w:tc>
      </w:tr>
      <w:tr w:rsidR="00204055" w:rsidRPr="00E81CC3" w14:paraId="7D41EF85" w14:textId="77777777" w:rsidTr="000D1E0B">
        <w:trPr>
          <w:trHeight w:val="20"/>
        </w:trPr>
        <w:tc>
          <w:tcPr>
            <w:tcW w:w="2064" w:type="pct"/>
            <w:tcBorders>
              <w:top w:val="nil"/>
              <w:left w:val="nil"/>
              <w:bottom w:val="nil"/>
              <w:right w:val="nil"/>
            </w:tcBorders>
            <w:shd w:val="clear" w:color="auto" w:fill="auto"/>
            <w:noWrap/>
            <w:vAlign w:val="center"/>
            <w:hideMark/>
          </w:tcPr>
          <w:p w14:paraId="0F7E699F"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all appellants are female</w:t>
            </w:r>
          </w:p>
        </w:tc>
        <w:tc>
          <w:tcPr>
            <w:tcW w:w="587" w:type="pct"/>
            <w:tcBorders>
              <w:top w:val="nil"/>
              <w:left w:val="nil"/>
              <w:bottom w:val="nil"/>
              <w:right w:val="nil"/>
            </w:tcBorders>
            <w:shd w:val="clear" w:color="auto" w:fill="auto"/>
            <w:noWrap/>
            <w:vAlign w:val="center"/>
            <w:hideMark/>
          </w:tcPr>
          <w:p w14:paraId="7FA6A8CA"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p>
        </w:tc>
        <w:tc>
          <w:tcPr>
            <w:tcW w:w="587" w:type="pct"/>
            <w:tcBorders>
              <w:top w:val="nil"/>
              <w:left w:val="nil"/>
              <w:bottom w:val="nil"/>
              <w:right w:val="nil"/>
            </w:tcBorders>
            <w:shd w:val="clear" w:color="auto" w:fill="auto"/>
            <w:noWrap/>
            <w:vAlign w:val="center"/>
            <w:hideMark/>
          </w:tcPr>
          <w:p w14:paraId="37A637C8"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7EB6CACB"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-0.073</w:t>
            </w:r>
          </w:p>
        </w:tc>
        <w:tc>
          <w:tcPr>
            <w:tcW w:w="587" w:type="pct"/>
            <w:tcBorders>
              <w:top w:val="nil"/>
              <w:left w:val="nil"/>
              <w:bottom w:val="nil"/>
              <w:right w:val="nil"/>
            </w:tcBorders>
            <w:shd w:val="clear" w:color="auto" w:fill="auto"/>
            <w:noWrap/>
            <w:vAlign w:val="center"/>
            <w:hideMark/>
          </w:tcPr>
          <w:p w14:paraId="458ED777"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-0.055</w:t>
            </w:r>
          </w:p>
        </w:tc>
        <w:tc>
          <w:tcPr>
            <w:tcW w:w="587" w:type="pct"/>
            <w:tcBorders>
              <w:top w:val="nil"/>
              <w:left w:val="nil"/>
              <w:bottom w:val="nil"/>
              <w:right w:val="nil"/>
            </w:tcBorders>
            <w:shd w:val="clear" w:color="auto" w:fill="auto"/>
            <w:noWrap/>
            <w:vAlign w:val="center"/>
            <w:hideMark/>
          </w:tcPr>
          <w:p w14:paraId="13ECC4AD"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w:t>
            </w:r>
          </w:p>
        </w:tc>
      </w:tr>
      <w:tr w:rsidR="00204055" w:rsidRPr="00E81CC3" w14:paraId="1CFCAB36" w14:textId="77777777" w:rsidTr="000D1E0B">
        <w:trPr>
          <w:trHeight w:val="20"/>
        </w:trPr>
        <w:tc>
          <w:tcPr>
            <w:tcW w:w="2064" w:type="pct"/>
            <w:tcBorders>
              <w:top w:val="nil"/>
              <w:left w:val="nil"/>
              <w:bottom w:val="nil"/>
              <w:right w:val="nil"/>
            </w:tcBorders>
            <w:shd w:val="clear" w:color="auto" w:fill="auto"/>
            <w:noWrap/>
            <w:vAlign w:val="center"/>
            <w:hideMark/>
          </w:tcPr>
          <w:p w14:paraId="658EB6E0"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587" w:type="pct"/>
            <w:tcBorders>
              <w:top w:val="nil"/>
              <w:left w:val="nil"/>
              <w:bottom w:val="nil"/>
              <w:right w:val="nil"/>
            </w:tcBorders>
            <w:shd w:val="clear" w:color="auto" w:fill="auto"/>
            <w:noWrap/>
            <w:vAlign w:val="center"/>
            <w:hideMark/>
          </w:tcPr>
          <w:p w14:paraId="2F0AAF6E" w14:textId="77777777" w:rsidR="00204055" w:rsidRPr="00E81CC3" w:rsidRDefault="00204055" w:rsidP="000D1E0B">
            <w:pPr>
              <w:spacing w:after="0" w:line="240" w:lineRule="auto"/>
              <w:ind w:firstLineChars="200" w:firstLine="280"/>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47F8D2B2"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2FB7D84C"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3AF1A916"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63F083C9"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5A666B62" w14:textId="77777777" w:rsidTr="000D1E0B">
        <w:trPr>
          <w:trHeight w:val="20"/>
        </w:trPr>
        <w:tc>
          <w:tcPr>
            <w:tcW w:w="2064" w:type="pct"/>
            <w:tcBorders>
              <w:top w:val="nil"/>
              <w:left w:val="nil"/>
              <w:bottom w:val="nil"/>
              <w:right w:val="nil"/>
            </w:tcBorders>
            <w:shd w:val="clear" w:color="auto" w:fill="auto"/>
            <w:noWrap/>
            <w:vAlign w:val="center"/>
            <w:hideMark/>
          </w:tcPr>
          <w:p w14:paraId="2440ED64"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r w:rsidRPr="00E81CC3">
              <w:rPr>
                <w:rFonts w:ascii="Garamond" w:eastAsia="Times New Roman" w:hAnsi="Garamond" w:cs="Times New Roman"/>
                <w:i/>
                <w:iCs/>
                <w:color w:val="000000"/>
                <w:sz w:val="14"/>
                <w:szCs w:val="16"/>
              </w:rPr>
              <w:t xml:space="preserve">Extraordinary Appeal </w:t>
            </w:r>
          </w:p>
        </w:tc>
        <w:tc>
          <w:tcPr>
            <w:tcW w:w="587" w:type="pct"/>
            <w:tcBorders>
              <w:top w:val="nil"/>
              <w:left w:val="nil"/>
              <w:bottom w:val="nil"/>
              <w:right w:val="nil"/>
            </w:tcBorders>
            <w:shd w:val="clear" w:color="auto" w:fill="auto"/>
            <w:noWrap/>
            <w:vAlign w:val="center"/>
            <w:hideMark/>
          </w:tcPr>
          <w:p w14:paraId="69DFE6B3"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p>
        </w:tc>
        <w:tc>
          <w:tcPr>
            <w:tcW w:w="587" w:type="pct"/>
            <w:tcBorders>
              <w:top w:val="nil"/>
              <w:left w:val="nil"/>
              <w:bottom w:val="nil"/>
              <w:right w:val="nil"/>
            </w:tcBorders>
            <w:shd w:val="clear" w:color="auto" w:fill="auto"/>
            <w:noWrap/>
            <w:vAlign w:val="center"/>
            <w:hideMark/>
          </w:tcPr>
          <w:p w14:paraId="4DA244E8"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653A56FD"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0A281888"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3F41CD1B"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238CA05C" w14:textId="77777777" w:rsidTr="000D1E0B">
        <w:trPr>
          <w:trHeight w:val="20"/>
        </w:trPr>
        <w:tc>
          <w:tcPr>
            <w:tcW w:w="2064" w:type="pct"/>
            <w:tcBorders>
              <w:top w:val="nil"/>
              <w:left w:val="nil"/>
              <w:bottom w:val="nil"/>
              <w:right w:val="nil"/>
            </w:tcBorders>
            <w:shd w:val="clear" w:color="auto" w:fill="auto"/>
            <w:noWrap/>
            <w:vAlign w:val="center"/>
            <w:hideMark/>
          </w:tcPr>
          <w:p w14:paraId="263281FE"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lang w:val="es-CO"/>
              </w:rPr>
            </w:pPr>
            <w:r w:rsidRPr="00E81CC3">
              <w:rPr>
                <w:rFonts w:ascii="Garamond" w:eastAsia="Times New Roman" w:hAnsi="Garamond" w:cs="Times New Roman"/>
                <w:color w:val="000000"/>
                <w:sz w:val="14"/>
                <w:szCs w:val="16"/>
                <w:lang w:val="es-CO"/>
              </w:rPr>
              <w:t>=1 if Recurso Extraordinario Federal (REX)</w:t>
            </w:r>
          </w:p>
        </w:tc>
        <w:tc>
          <w:tcPr>
            <w:tcW w:w="587" w:type="pct"/>
            <w:tcBorders>
              <w:top w:val="nil"/>
              <w:left w:val="nil"/>
              <w:bottom w:val="nil"/>
              <w:right w:val="nil"/>
            </w:tcBorders>
            <w:shd w:val="clear" w:color="auto" w:fill="auto"/>
            <w:noWrap/>
            <w:vAlign w:val="center"/>
            <w:hideMark/>
          </w:tcPr>
          <w:p w14:paraId="7AB1BC9F"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lang w:val="es-CO"/>
              </w:rPr>
            </w:pPr>
          </w:p>
        </w:tc>
        <w:tc>
          <w:tcPr>
            <w:tcW w:w="587" w:type="pct"/>
            <w:tcBorders>
              <w:top w:val="nil"/>
              <w:left w:val="nil"/>
              <w:bottom w:val="nil"/>
              <w:right w:val="nil"/>
            </w:tcBorders>
            <w:shd w:val="clear" w:color="auto" w:fill="auto"/>
            <w:noWrap/>
            <w:vAlign w:val="center"/>
            <w:hideMark/>
          </w:tcPr>
          <w:p w14:paraId="0F9E0751" w14:textId="77777777" w:rsidR="00204055" w:rsidRPr="00E81CC3" w:rsidRDefault="00204055" w:rsidP="000D1E0B">
            <w:pPr>
              <w:spacing w:after="0" w:line="240" w:lineRule="auto"/>
              <w:jc w:val="center"/>
              <w:rPr>
                <w:rFonts w:ascii="Garamond" w:eastAsia="Times New Roman" w:hAnsi="Garamond" w:cs="Times New Roman"/>
                <w:sz w:val="14"/>
                <w:szCs w:val="20"/>
                <w:lang w:val="es-CO"/>
              </w:rPr>
            </w:pPr>
          </w:p>
        </w:tc>
        <w:tc>
          <w:tcPr>
            <w:tcW w:w="587" w:type="pct"/>
            <w:tcBorders>
              <w:top w:val="nil"/>
              <w:left w:val="nil"/>
              <w:bottom w:val="nil"/>
              <w:right w:val="nil"/>
            </w:tcBorders>
            <w:shd w:val="clear" w:color="auto" w:fill="auto"/>
            <w:noWrap/>
            <w:vAlign w:val="center"/>
            <w:hideMark/>
          </w:tcPr>
          <w:p w14:paraId="3C8B631A" w14:textId="77777777" w:rsidR="00204055" w:rsidRPr="00E81CC3" w:rsidRDefault="00204055" w:rsidP="000D1E0B">
            <w:pPr>
              <w:spacing w:after="0" w:line="240" w:lineRule="auto"/>
              <w:jc w:val="center"/>
              <w:rPr>
                <w:rFonts w:ascii="Garamond" w:eastAsia="Times New Roman" w:hAnsi="Garamond" w:cs="Times New Roman"/>
                <w:sz w:val="14"/>
                <w:szCs w:val="20"/>
                <w:lang w:val="es-CO"/>
              </w:rPr>
            </w:pPr>
          </w:p>
        </w:tc>
        <w:tc>
          <w:tcPr>
            <w:tcW w:w="587" w:type="pct"/>
            <w:tcBorders>
              <w:top w:val="nil"/>
              <w:left w:val="nil"/>
              <w:bottom w:val="nil"/>
              <w:right w:val="nil"/>
            </w:tcBorders>
            <w:shd w:val="clear" w:color="auto" w:fill="auto"/>
            <w:noWrap/>
            <w:vAlign w:val="center"/>
            <w:hideMark/>
          </w:tcPr>
          <w:p w14:paraId="4A65AA85"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0.000</w:t>
            </w:r>
          </w:p>
        </w:tc>
        <w:tc>
          <w:tcPr>
            <w:tcW w:w="587" w:type="pct"/>
            <w:tcBorders>
              <w:top w:val="nil"/>
              <w:left w:val="nil"/>
              <w:bottom w:val="nil"/>
              <w:right w:val="nil"/>
            </w:tcBorders>
            <w:shd w:val="clear" w:color="auto" w:fill="auto"/>
            <w:noWrap/>
            <w:vAlign w:val="center"/>
            <w:hideMark/>
          </w:tcPr>
          <w:p w14:paraId="394B947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0.034</w:t>
            </w:r>
          </w:p>
        </w:tc>
      </w:tr>
      <w:tr w:rsidR="00204055" w:rsidRPr="00E81CC3" w14:paraId="26AFE1A6" w14:textId="77777777" w:rsidTr="000D1E0B">
        <w:trPr>
          <w:trHeight w:val="20"/>
        </w:trPr>
        <w:tc>
          <w:tcPr>
            <w:tcW w:w="2064" w:type="pct"/>
            <w:tcBorders>
              <w:top w:val="nil"/>
              <w:left w:val="nil"/>
              <w:bottom w:val="nil"/>
              <w:right w:val="nil"/>
            </w:tcBorders>
            <w:shd w:val="clear" w:color="auto" w:fill="auto"/>
            <w:noWrap/>
            <w:vAlign w:val="center"/>
            <w:hideMark/>
          </w:tcPr>
          <w:p w14:paraId="64F0A331"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587" w:type="pct"/>
            <w:tcBorders>
              <w:top w:val="nil"/>
              <w:left w:val="nil"/>
              <w:bottom w:val="nil"/>
              <w:right w:val="nil"/>
            </w:tcBorders>
            <w:shd w:val="clear" w:color="auto" w:fill="auto"/>
            <w:noWrap/>
            <w:vAlign w:val="center"/>
            <w:hideMark/>
          </w:tcPr>
          <w:p w14:paraId="7EB16A5C" w14:textId="77777777" w:rsidR="00204055" w:rsidRPr="00E81CC3" w:rsidRDefault="00204055" w:rsidP="000D1E0B">
            <w:pPr>
              <w:spacing w:after="0" w:line="240" w:lineRule="auto"/>
              <w:ind w:firstLineChars="200" w:firstLine="280"/>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774A4A46"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78104D32"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246E7B6A"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3D815BE9"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4D327532" w14:textId="77777777" w:rsidTr="000D1E0B">
        <w:trPr>
          <w:trHeight w:val="20"/>
        </w:trPr>
        <w:tc>
          <w:tcPr>
            <w:tcW w:w="2064" w:type="pct"/>
            <w:tcBorders>
              <w:top w:val="nil"/>
              <w:left w:val="nil"/>
              <w:bottom w:val="nil"/>
              <w:right w:val="nil"/>
            </w:tcBorders>
            <w:shd w:val="clear" w:color="auto" w:fill="auto"/>
            <w:noWrap/>
            <w:vAlign w:val="center"/>
            <w:hideMark/>
          </w:tcPr>
          <w:p w14:paraId="44705547"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r w:rsidRPr="00E81CC3">
              <w:rPr>
                <w:rFonts w:ascii="Garamond" w:eastAsia="Times New Roman" w:hAnsi="Garamond" w:cs="Times New Roman"/>
                <w:i/>
                <w:iCs/>
                <w:color w:val="000000"/>
                <w:sz w:val="14"/>
                <w:szCs w:val="16"/>
              </w:rPr>
              <w:t>Civil subtypes areas dummies (Base: Civil =0)</w:t>
            </w:r>
          </w:p>
        </w:tc>
        <w:tc>
          <w:tcPr>
            <w:tcW w:w="587" w:type="pct"/>
            <w:tcBorders>
              <w:top w:val="nil"/>
              <w:left w:val="nil"/>
              <w:bottom w:val="nil"/>
              <w:right w:val="nil"/>
            </w:tcBorders>
            <w:shd w:val="clear" w:color="auto" w:fill="auto"/>
            <w:noWrap/>
            <w:vAlign w:val="center"/>
            <w:hideMark/>
          </w:tcPr>
          <w:p w14:paraId="24845292"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p>
        </w:tc>
        <w:tc>
          <w:tcPr>
            <w:tcW w:w="587" w:type="pct"/>
            <w:tcBorders>
              <w:top w:val="nil"/>
              <w:left w:val="nil"/>
              <w:bottom w:val="nil"/>
              <w:right w:val="nil"/>
            </w:tcBorders>
            <w:shd w:val="clear" w:color="auto" w:fill="auto"/>
            <w:noWrap/>
            <w:vAlign w:val="center"/>
            <w:hideMark/>
          </w:tcPr>
          <w:p w14:paraId="03607359"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2635DBAD"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7B39341E"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5C914C8C"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5C073079" w14:textId="77777777" w:rsidTr="000D1E0B">
        <w:trPr>
          <w:trHeight w:val="20"/>
        </w:trPr>
        <w:tc>
          <w:tcPr>
            <w:tcW w:w="2064" w:type="pct"/>
            <w:tcBorders>
              <w:top w:val="nil"/>
              <w:left w:val="nil"/>
              <w:bottom w:val="nil"/>
              <w:right w:val="nil"/>
            </w:tcBorders>
            <w:shd w:val="clear" w:color="auto" w:fill="auto"/>
            <w:noWrap/>
            <w:vAlign w:val="center"/>
            <w:hideMark/>
          </w:tcPr>
          <w:p w14:paraId="23C6CCF1"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case subject is Labor Law</w:t>
            </w:r>
          </w:p>
        </w:tc>
        <w:tc>
          <w:tcPr>
            <w:tcW w:w="587" w:type="pct"/>
            <w:tcBorders>
              <w:top w:val="nil"/>
              <w:left w:val="nil"/>
              <w:bottom w:val="nil"/>
              <w:right w:val="nil"/>
            </w:tcBorders>
            <w:shd w:val="clear" w:color="auto" w:fill="auto"/>
            <w:noWrap/>
            <w:vAlign w:val="center"/>
            <w:hideMark/>
          </w:tcPr>
          <w:p w14:paraId="1CB101DC"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p>
        </w:tc>
        <w:tc>
          <w:tcPr>
            <w:tcW w:w="587" w:type="pct"/>
            <w:tcBorders>
              <w:top w:val="nil"/>
              <w:left w:val="nil"/>
              <w:bottom w:val="nil"/>
              <w:right w:val="nil"/>
            </w:tcBorders>
            <w:shd w:val="clear" w:color="auto" w:fill="auto"/>
            <w:noWrap/>
            <w:vAlign w:val="center"/>
            <w:hideMark/>
          </w:tcPr>
          <w:p w14:paraId="4DA11343"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376CCFFA"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64736D1B"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0.666***</w:t>
            </w:r>
          </w:p>
        </w:tc>
        <w:tc>
          <w:tcPr>
            <w:tcW w:w="587" w:type="pct"/>
            <w:tcBorders>
              <w:top w:val="nil"/>
              <w:left w:val="nil"/>
              <w:bottom w:val="nil"/>
              <w:right w:val="nil"/>
            </w:tcBorders>
            <w:shd w:val="clear" w:color="auto" w:fill="auto"/>
            <w:noWrap/>
            <w:vAlign w:val="center"/>
            <w:hideMark/>
          </w:tcPr>
          <w:p w14:paraId="3B2D82F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0.309***</w:t>
            </w:r>
          </w:p>
        </w:tc>
      </w:tr>
      <w:tr w:rsidR="00204055" w:rsidRPr="00E81CC3" w14:paraId="20D84531" w14:textId="77777777" w:rsidTr="000D1E0B">
        <w:trPr>
          <w:trHeight w:val="20"/>
        </w:trPr>
        <w:tc>
          <w:tcPr>
            <w:tcW w:w="2064" w:type="pct"/>
            <w:tcBorders>
              <w:top w:val="nil"/>
              <w:left w:val="nil"/>
              <w:bottom w:val="nil"/>
              <w:right w:val="nil"/>
            </w:tcBorders>
            <w:shd w:val="clear" w:color="auto" w:fill="auto"/>
            <w:noWrap/>
            <w:vAlign w:val="center"/>
            <w:hideMark/>
          </w:tcPr>
          <w:p w14:paraId="1ADB88DF"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case subject is Public Law</w:t>
            </w:r>
          </w:p>
        </w:tc>
        <w:tc>
          <w:tcPr>
            <w:tcW w:w="587" w:type="pct"/>
            <w:tcBorders>
              <w:top w:val="nil"/>
              <w:left w:val="nil"/>
              <w:bottom w:val="nil"/>
              <w:right w:val="nil"/>
            </w:tcBorders>
            <w:shd w:val="clear" w:color="auto" w:fill="auto"/>
            <w:noWrap/>
            <w:vAlign w:val="center"/>
            <w:hideMark/>
          </w:tcPr>
          <w:p w14:paraId="731E909A"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p>
        </w:tc>
        <w:tc>
          <w:tcPr>
            <w:tcW w:w="587" w:type="pct"/>
            <w:tcBorders>
              <w:top w:val="nil"/>
              <w:left w:val="nil"/>
              <w:bottom w:val="nil"/>
              <w:right w:val="nil"/>
            </w:tcBorders>
            <w:shd w:val="clear" w:color="auto" w:fill="auto"/>
            <w:noWrap/>
            <w:vAlign w:val="center"/>
            <w:hideMark/>
          </w:tcPr>
          <w:p w14:paraId="769E499F"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317B4556"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611FAF5C"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0.231***</w:t>
            </w:r>
          </w:p>
        </w:tc>
        <w:tc>
          <w:tcPr>
            <w:tcW w:w="587" w:type="pct"/>
            <w:tcBorders>
              <w:top w:val="nil"/>
              <w:left w:val="nil"/>
              <w:bottom w:val="nil"/>
              <w:right w:val="nil"/>
            </w:tcBorders>
            <w:shd w:val="clear" w:color="auto" w:fill="auto"/>
            <w:noWrap/>
            <w:vAlign w:val="center"/>
            <w:hideMark/>
          </w:tcPr>
          <w:p w14:paraId="17974254"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0.120** </w:t>
            </w:r>
          </w:p>
        </w:tc>
      </w:tr>
      <w:tr w:rsidR="00204055" w:rsidRPr="00E81CC3" w14:paraId="26A3F203" w14:textId="77777777" w:rsidTr="000D1E0B">
        <w:trPr>
          <w:trHeight w:val="20"/>
        </w:trPr>
        <w:tc>
          <w:tcPr>
            <w:tcW w:w="2064" w:type="pct"/>
            <w:tcBorders>
              <w:top w:val="nil"/>
              <w:left w:val="nil"/>
              <w:bottom w:val="nil"/>
              <w:right w:val="nil"/>
            </w:tcBorders>
            <w:shd w:val="clear" w:color="auto" w:fill="auto"/>
            <w:noWrap/>
            <w:vAlign w:val="center"/>
            <w:hideMark/>
          </w:tcPr>
          <w:p w14:paraId="23E336E1"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case subject is Tort Law</w:t>
            </w:r>
          </w:p>
        </w:tc>
        <w:tc>
          <w:tcPr>
            <w:tcW w:w="587" w:type="pct"/>
            <w:tcBorders>
              <w:top w:val="nil"/>
              <w:left w:val="nil"/>
              <w:bottom w:val="nil"/>
              <w:right w:val="nil"/>
            </w:tcBorders>
            <w:shd w:val="clear" w:color="auto" w:fill="auto"/>
            <w:noWrap/>
            <w:vAlign w:val="center"/>
            <w:hideMark/>
          </w:tcPr>
          <w:p w14:paraId="5EBD138D"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p>
        </w:tc>
        <w:tc>
          <w:tcPr>
            <w:tcW w:w="587" w:type="pct"/>
            <w:tcBorders>
              <w:top w:val="nil"/>
              <w:left w:val="nil"/>
              <w:bottom w:val="nil"/>
              <w:right w:val="nil"/>
            </w:tcBorders>
            <w:shd w:val="clear" w:color="auto" w:fill="auto"/>
            <w:noWrap/>
            <w:vAlign w:val="center"/>
            <w:hideMark/>
          </w:tcPr>
          <w:p w14:paraId="16A402CF"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2D0C78F8"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52899DA8"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-0.434***</w:t>
            </w:r>
          </w:p>
        </w:tc>
        <w:tc>
          <w:tcPr>
            <w:tcW w:w="587" w:type="pct"/>
            <w:tcBorders>
              <w:top w:val="nil"/>
              <w:left w:val="nil"/>
              <w:bottom w:val="nil"/>
              <w:right w:val="nil"/>
            </w:tcBorders>
            <w:shd w:val="clear" w:color="auto" w:fill="auto"/>
            <w:noWrap/>
            <w:vAlign w:val="center"/>
            <w:hideMark/>
          </w:tcPr>
          <w:p w14:paraId="04720E87"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-0.127* </w:t>
            </w:r>
          </w:p>
        </w:tc>
      </w:tr>
      <w:tr w:rsidR="00204055" w:rsidRPr="00E81CC3" w14:paraId="56DDE66B" w14:textId="77777777" w:rsidTr="000D1E0B">
        <w:trPr>
          <w:trHeight w:val="20"/>
        </w:trPr>
        <w:tc>
          <w:tcPr>
            <w:tcW w:w="2064" w:type="pct"/>
            <w:tcBorders>
              <w:top w:val="nil"/>
              <w:left w:val="nil"/>
              <w:bottom w:val="nil"/>
              <w:right w:val="nil"/>
            </w:tcBorders>
            <w:shd w:val="clear" w:color="auto" w:fill="auto"/>
            <w:noWrap/>
            <w:vAlign w:val="center"/>
            <w:hideMark/>
          </w:tcPr>
          <w:p w14:paraId="7A8833E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587" w:type="pct"/>
            <w:tcBorders>
              <w:top w:val="nil"/>
              <w:left w:val="nil"/>
              <w:bottom w:val="nil"/>
              <w:right w:val="nil"/>
            </w:tcBorders>
            <w:shd w:val="clear" w:color="auto" w:fill="auto"/>
            <w:noWrap/>
            <w:vAlign w:val="center"/>
            <w:hideMark/>
          </w:tcPr>
          <w:p w14:paraId="563D1F4E" w14:textId="77777777" w:rsidR="00204055" w:rsidRPr="00E81CC3" w:rsidRDefault="00204055" w:rsidP="000D1E0B">
            <w:pPr>
              <w:spacing w:after="0" w:line="240" w:lineRule="auto"/>
              <w:ind w:firstLineChars="200" w:firstLine="280"/>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01E6D845"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100375E2"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6FCE1606"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502FDA7E"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441745BE" w14:textId="77777777" w:rsidTr="000D1E0B">
        <w:trPr>
          <w:trHeight w:val="20"/>
        </w:trPr>
        <w:tc>
          <w:tcPr>
            <w:tcW w:w="2064" w:type="pct"/>
            <w:tcBorders>
              <w:top w:val="nil"/>
              <w:left w:val="nil"/>
              <w:bottom w:val="nil"/>
              <w:right w:val="nil"/>
            </w:tcBorders>
            <w:shd w:val="clear" w:color="auto" w:fill="auto"/>
            <w:noWrap/>
            <w:vAlign w:val="center"/>
            <w:hideMark/>
          </w:tcPr>
          <w:p w14:paraId="19DD7E20"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r w:rsidRPr="00E81CC3">
              <w:rPr>
                <w:rFonts w:ascii="Garamond" w:eastAsia="Times New Roman" w:hAnsi="Garamond" w:cs="Times New Roman"/>
                <w:i/>
                <w:iCs/>
                <w:color w:val="000000"/>
                <w:sz w:val="14"/>
                <w:szCs w:val="16"/>
              </w:rPr>
              <w:t>Criminal (Base: Civil =0, Time &lt; 280 days)</w:t>
            </w:r>
          </w:p>
        </w:tc>
        <w:tc>
          <w:tcPr>
            <w:tcW w:w="587" w:type="pct"/>
            <w:tcBorders>
              <w:top w:val="nil"/>
              <w:left w:val="nil"/>
              <w:bottom w:val="nil"/>
              <w:right w:val="nil"/>
            </w:tcBorders>
            <w:shd w:val="clear" w:color="auto" w:fill="auto"/>
            <w:noWrap/>
            <w:vAlign w:val="center"/>
            <w:hideMark/>
          </w:tcPr>
          <w:p w14:paraId="613C50A3"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p>
        </w:tc>
        <w:tc>
          <w:tcPr>
            <w:tcW w:w="587" w:type="pct"/>
            <w:tcBorders>
              <w:top w:val="nil"/>
              <w:left w:val="nil"/>
              <w:bottom w:val="nil"/>
              <w:right w:val="nil"/>
            </w:tcBorders>
            <w:shd w:val="clear" w:color="auto" w:fill="auto"/>
            <w:noWrap/>
            <w:vAlign w:val="center"/>
            <w:hideMark/>
          </w:tcPr>
          <w:p w14:paraId="61EE7433"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13ECB374"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7AAD2455"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5F57BDC0"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6EAD1E5A" w14:textId="77777777" w:rsidTr="000D1E0B">
        <w:trPr>
          <w:trHeight w:val="20"/>
        </w:trPr>
        <w:tc>
          <w:tcPr>
            <w:tcW w:w="3238" w:type="pct"/>
            <w:gridSpan w:val="3"/>
            <w:tcBorders>
              <w:top w:val="nil"/>
              <w:left w:val="nil"/>
              <w:bottom w:val="nil"/>
              <w:right w:val="nil"/>
            </w:tcBorders>
            <w:shd w:val="clear" w:color="auto" w:fill="auto"/>
            <w:noWrap/>
            <w:vAlign w:val="center"/>
            <w:hideMark/>
          </w:tcPr>
          <w:p w14:paraId="4BDB5F71"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case subject is Criminal Law or Criminal Procedure Law</w:t>
            </w:r>
          </w:p>
        </w:tc>
        <w:tc>
          <w:tcPr>
            <w:tcW w:w="587" w:type="pct"/>
            <w:tcBorders>
              <w:top w:val="nil"/>
              <w:left w:val="nil"/>
              <w:bottom w:val="nil"/>
              <w:right w:val="nil"/>
            </w:tcBorders>
            <w:shd w:val="clear" w:color="auto" w:fill="auto"/>
            <w:noWrap/>
            <w:vAlign w:val="center"/>
            <w:hideMark/>
          </w:tcPr>
          <w:p w14:paraId="39E94E97"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p>
        </w:tc>
        <w:tc>
          <w:tcPr>
            <w:tcW w:w="587" w:type="pct"/>
            <w:tcBorders>
              <w:top w:val="nil"/>
              <w:left w:val="nil"/>
              <w:bottom w:val="nil"/>
              <w:right w:val="nil"/>
            </w:tcBorders>
            <w:shd w:val="clear" w:color="auto" w:fill="auto"/>
            <w:noWrap/>
            <w:vAlign w:val="center"/>
            <w:hideMark/>
          </w:tcPr>
          <w:p w14:paraId="4678B6D8"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200B5AF5"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0.499***</w:t>
            </w:r>
          </w:p>
        </w:tc>
      </w:tr>
      <w:tr w:rsidR="00204055" w:rsidRPr="00E81CC3" w14:paraId="5F2C1CEE" w14:textId="77777777" w:rsidTr="000D1E0B">
        <w:trPr>
          <w:trHeight w:val="20"/>
        </w:trPr>
        <w:tc>
          <w:tcPr>
            <w:tcW w:w="2064" w:type="pct"/>
            <w:tcBorders>
              <w:top w:val="nil"/>
              <w:left w:val="nil"/>
              <w:bottom w:val="nil"/>
              <w:right w:val="nil"/>
            </w:tcBorders>
            <w:shd w:val="clear" w:color="auto" w:fill="auto"/>
            <w:noWrap/>
            <w:vAlign w:val="center"/>
            <w:hideMark/>
          </w:tcPr>
          <w:p w14:paraId="02724920"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time is equal or longer than 280 days</w:t>
            </w:r>
          </w:p>
        </w:tc>
        <w:tc>
          <w:tcPr>
            <w:tcW w:w="587" w:type="pct"/>
            <w:tcBorders>
              <w:top w:val="nil"/>
              <w:left w:val="nil"/>
              <w:bottom w:val="nil"/>
              <w:right w:val="nil"/>
            </w:tcBorders>
            <w:shd w:val="clear" w:color="auto" w:fill="auto"/>
            <w:noWrap/>
            <w:vAlign w:val="center"/>
            <w:hideMark/>
          </w:tcPr>
          <w:p w14:paraId="756C0FC9"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p>
        </w:tc>
        <w:tc>
          <w:tcPr>
            <w:tcW w:w="587" w:type="pct"/>
            <w:tcBorders>
              <w:top w:val="nil"/>
              <w:left w:val="nil"/>
              <w:bottom w:val="nil"/>
              <w:right w:val="nil"/>
            </w:tcBorders>
            <w:shd w:val="clear" w:color="auto" w:fill="auto"/>
            <w:noWrap/>
            <w:vAlign w:val="center"/>
            <w:hideMark/>
          </w:tcPr>
          <w:p w14:paraId="4DA696F2"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0AF99550"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23E1D7E9"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2A24C1D0"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1.023***</w:t>
            </w:r>
          </w:p>
        </w:tc>
      </w:tr>
      <w:tr w:rsidR="00204055" w:rsidRPr="00E81CC3" w14:paraId="59B66BDA" w14:textId="77777777" w:rsidTr="000D1E0B">
        <w:trPr>
          <w:trHeight w:val="20"/>
        </w:trPr>
        <w:tc>
          <w:tcPr>
            <w:tcW w:w="4413" w:type="pct"/>
            <w:gridSpan w:val="5"/>
            <w:tcBorders>
              <w:top w:val="nil"/>
              <w:left w:val="nil"/>
              <w:bottom w:val="nil"/>
              <w:right w:val="nil"/>
            </w:tcBorders>
            <w:shd w:val="clear" w:color="auto" w:fill="auto"/>
            <w:noWrap/>
            <w:vAlign w:val="center"/>
            <w:hideMark/>
          </w:tcPr>
          <w:p w14:paraId="3A5EC488"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=1 if case subject is Criminal Law or Criminal Procedure Law </w:t>
            </w:r>
          </w:p>
          <w:p w14:paraId="60A668BA"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and time is equal or longer than 280 days</w:t>
            </w:r>
          </w:p>
        </w:tc>
        <w:tc>
          <w:tcPr>
            <w:tcW w:w="587" w:type="pct"/>
            <w:tcBorders>
              <w:top w:val="nil"/>
              <w:left w:val="nil"/>
              <w:bottom w:val="nil"/>
              <w:right w:val="nil"/>
            </w:tcBorders>
            <w:shd w:val="clear" w:color="auto" w:fill="auto"/>
            <w:noWrap/>
            <w:vAlign w:val="center"/>
            <w:hideMark/>
          </w:tcPr>
          <w:p w14:paraId="6B0C80C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-0.466***</w:t>
            </w:r>
          </w:p>
        </w:tc>
      </w:tr>
      <w:tr w:rsidR="00204055" w:rsidRPr="00E81CC3" w14:paraId="35DC1163" w14:textId="77777777" w:rsidTr="000D1E0B">
        <w:trPr>
          <w:trHeight w:val="20"/>
        </w:trPr>
        <w:tc>
          <w:tcPr>
            <w:tcW w:w="2064" w:type="pct"/>
            <w:tcBorders>
              <w:top w:val="nil"/>
              <w:left w:val="nil"/>
              <w:bottom w:val="nil"/>
              <w:right w:val="nil"/>
            </w:tcBorders>
            <w:shd w:val="clear" w:color="auto" w:fill="auto"/>
            <w:noWrap/>
            <w:vAlign w:val="center"/>
            <w:hideMark/>
          </w:tcPr>
          <w:p w14:paraId="46545E57"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587" w:type="pct"/>
            <w:tcBorders>
              <w:top w:val="nil"/>
              <w:left w:val="nil"/>
              <w:bottom w:val="nil"/>
              <w:right w:val="nil"/>
            </w:tcBorders>
            <w:shd w:val="clear" w:color="auto" w:fill="auto"/>
            <w:noWrap/>
            <w:vAlign w:val="center"/>
            <w:hideMark/>
          </w:tcPr>
          <w:p w14:paraId="2DB408C6" w14:textId="77777777" w:rsidR="00204055" w:rsidRPr="00E81CC3" w:rsidRDefault="00204055" w:rsidP="000D1E0B">
            <w:pPr>
              <w:spacing w:after="0" w:line="240" w:lineRule="auto"/>
              <w:ind w:firstLineChars="200" w:firstLine="280"/>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6EC14D3F"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08BD685F"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6559A900"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3BB55073"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0D21F7B2" w14:textId="77777777" w:rsidTr="000D1E0B">
        <w:trPr>
          <w:trHeight w:val="20"/>
        </w:trPr>
        <w:tc>
          <w:tcPr>
            <w:tcW w:w="2064" w:type="pct"/>
            <w:tcBorders>
              <w:top w:val="nil"/>
              <w:left w:val="nil"/>
              <w:bottom w:val="nil"/>
              <w:right w:val="nil"/>
            </w:tcBorders>
            <w:shd w:val="clear" w:color="auto" w:fill="auto"/>
            <w:noWrap/>
            <w:vAlign w:val="center"/>
            <w:hideMark/>
          </w:tcPr>
          <w:p w14:paraId="5693D2FD"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Constant</w:t>
            </w:r>
          </w:p>
        </w:tc>
        <w:tc>
          <w:tcPr>
            <w:tcW w:w="587" w:type="pct"/>
            <w:tcBorders>
              <w:top w:val="nil"/>
              <w:left w:val="nil"/>
              <w:bottom w:val="nil"/>
              <w:right w:val="nil"/>
            </w:tcBorders>
            <w:shd w:val="clear" w:color="auto" w:fill="auto"/>
            <w:noWrap/>
            <w:vAlign w:val="center"/>
            <w:hideMark/>
          </w:tcPr>
          <w:p w14:paraId="00120D74"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5.487***</w:t>
            </w:r>
          </w:p>
        </w:tc>
        <w:tc>
          <w:tcPr>
            <w:tcW w:w="587" w:type="pct"/>
            <w:tcBorders>
              <w:top w:val="nil"/>
              <w:left w:val="nil"/>
              <w:bottom w:val="nil"/>
              <w:right w:val="nil"/>
            </w:tcBorders>
            <w:shd w:val="clear" w:color="auto" w:fill="auto"/>
            <w:noWrap/>
            <w:vAlign w:val="center"/>
            <w:hideMark/>
          </w:tcPr>
          <w:p w14:paraId="4F9AD0F0"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5.543***</w:t>
            </w:r>
          </w:p>
        </w:tc>
        <w:tc>
          <w:tcPr>
            <w:tcW w:w="587" w:type="pct"/>
            <w:tcBorders>
              <w:top w:val="nil"/>
              <w:left w:val="nil"/>
              <w:bottom w:val="nil"/>
              <w:right w:val="nil"/>
            </w:tcBorders>
            <w:shd w:val="clear" w:color="auto" w:fill="auto"/>
            <w:noWrap/>
            <w:vAlign w:val="center"/>
            <w:hideMark/>
          </w:tcPr>
          <w:p w14:paraId="014E7111"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5.478***</w:t>
            </w:r>
          </w:p>
        </w:tc>
        <w:tc>
          <w:tcPr>
            <w:tcW w:w="587" w:type="pct"/>
            <w:tcBorders>
              <w:top w:val="nil"/>
              <w:left w:val="nil"/>
              <w:bottom w:val="nil"/>
              <w:right w:val="nil"/>
            </w:tcBorders>
            <w:shd w:val="clear" w:color="auto" w:fill="auto"/>
            <w:noWrap/>
            <w:vAlign w:val="center"/>
            <w:hideMark/>
          </w:tcPr>
          <w:p w14:paraId="39544D2D"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5.149***</w:t>
            </w:r>
          </w:p>
        </w:tc>
        <w:tc>
          <w:tcPr>
            <w:tcW w:w="587" w:type="pct"/>
            <w:tcBorders>
              <w:top w:val="nil"/>
              <w:left w:val="nil"/>
              <w:bottom w:val="nil"/>
              <w:right w:val="nil"/>
            </w:tcBorders>
            <w:shd w:val="clear" w:color="auto" w:fill="auto"/>
            <w:noWrap/>
            <w:vAlign w:val="center"/>
            <w:hideMark/>
          </w:tcPr>
          <w:p w14:paraId="7221936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4.795***</w:t>
            </w:r>
          </w:p>
        </w:tc>
      </w:tr>
      <w:tr w:rsidR="00204055" w:rsidRPr="00E81CC3" w14:paraId="06F9F6C2" w14:textId="77777777" w:rsidTr="000D1E0B">
        <w:trPr>
          <w:trHeight w:val="20"/>
        </w:trPr>
        <w:tc>
          <w:tcPr>
            <w:tcW w:w="2064" w:type="pct"/>
            <w:tcBorders>
              <w:top w:val="nil"/>
              <w:left w:val="nil"/>
              <w:bottom w:val="nil"/>
              <w:right w:val="nil"/>
            </w:tcBorders>
            <w:shd w:val="clear" w:color="auto" w:fill="auto"/>
            <w:noWrap/>
            <w:vAlign w:val="center"/>
            <w:hideMark/>
          </w:tcPr>
          <w:p w14:paraId="6B283091"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587" w:type="pct"/>
            <w:tcBorders>
              <w:top w:val="nil"/>
              <w:left w:val="nil"/>
              <w:bottom w:val="nil"/>
              <w:right w:val="nil"/>
            </w:tcBorders>
            <w:shd w:val="clear" w:color="auto" w:fill="auto"/>
            <w:noWrap/>
            <w:vAlign w:val="center"/>
            <w:hideMark/>
          </w:tcPr>
          <w:p w14:paraId="7FDC20C2" w14:textId="77777777" w:rsidR="00204055" w:rsidRPr="00E81CC3" w:rsidRDefault="00204055" w:rsidP="000D1E0B">
            <w:pPr>
              <w:spacing w:after="0" w:line="240" w:lineRule="auto"/>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3AE1BCDF"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01177D60"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7D316E7D"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587" w:type="pct"/>
            <w:tcBorders>
              <w:top w:val="nil"/>
              <w:left w:val="nil"/>
              <w:bottom w:val="nil"/>
              <w:right w:val="nil"/>
            </w:tcBorders>
            <w:shd w:val="clear" w:color="auto" w:fill="auto"/>
            <w:noWrap/>
            <w:vAlign w:val="center"/>
            <w:hideMark/>
          </w:tcPr>
          <w:p w14:paraId="6C68AE77"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22A8AFE4" w14:textId="77777777" w:rsidTr="000D1E0B">
        <w:trPr>
          <w:trHeight w:val="20"/>
        </w:trPr>
        <w:tc>
          <w:tcPr>
            <w:tcW w:w="2064" w:type="pct"/>
            <w:tcBorders>
              <w:top w:val="nil"/>
              <w:left w:val="nil"/>
              <w:bottom w:val="nil"/>
              <w:right w:val="nil"/>
            </w:tcBorders>
            <w:shd w:val="clear" w:color="auto" w:fill="auto"/>
            <w:noWrap/>
            <w:vAlign w:val="center"/>
            <w:hideMark/>
          </w:tcPr>
          <w:p w14:paraId="3E7C16C4"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Ln(σ)</w:t>
            </w:r>
          </w:p>
        </w:tc>
        <w:tc>
          <w:tcPr>
            <w:tcW w:w="587" w:type="pct"/>
            <w:tcBorders>
              <w:top w:val="nil"/>
              <w:left w:val="nil"/>
              <w:bottom w:val="nil"/>
              <w:right w:val="nil"/>
            </w:tcBorders>
            <w:shd w:val="clear" w:color="auto" w:fill="auto"/>
            <w:noWrap/>
            <w:vAlign w:val="center"/>
            <w:hideMark/>
          </w:tcPr>
          <w:p w14:paraId="39823013"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-0.411***</w:t>
            </w:r>
          </w:p>
        </w:tc>
        <w:tc>
          <w:tcPr>
            <w:tcW w:w="587" w:type="pct"/>
            <w:tcBorders>
              <w:top w:val="nil"/>
              <w:left w:val="nil"/>
              <w:bottom w:val="nil"/>
              <w:right w:val="nil"/>
            </w:tcBorders>
            <w:shd w:val="clear" w:color="auto" w:fill="auto"/>
            <w:noWrap/>
            <w:vAlign w:val="center"/>
            <w:hideMark/>
          </w:tcPr>
          <w:p w14:paraId="527B1EB2"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-0.418***</w:t>
            </w:r>
          </w:p>
        </w:tc>
        <w:tc>
          <w:tcPr>
            <w:tcW w:w="587" w:type="pct"/>
            <w:tcBorders>
              <w:top w:val="nil"/>
              <w:left w:val="nil"/>
              <w:bottom w:val="nil"/>
              <w:right w:val="nil"/>
            </w:tcBorders>
            <w:shd w:val="clear" w:color="auto" w:fill="auto"/>
            <w:noWrap/>
            <w:vAlign w:val="center"/>
            <w:hideMark/>
          </w:tcPr>
          <w:p w14:paraId="58556BAD"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-0.421***</w:t>
            </w:r>
          </w:p>
        </w:tc>
        <w:tc>
          <w:tcPr>
            <w:tcW w:w="587" w:type="pct"/>
            <w:tcBorders>
              <w:top w:val="nil"/>
              <w:left w:val="nil"/>
              <w:bottom w:val="nil"/>
              <w:right w:val="nil"/>
            </w:tcBorders>
            <w:shd w:val="clear" w:color="auto" w:fill="auto"/>
            <w:noWrap/>
            <w:vAlign w:val="center"/>
            <w:hideMark/>
          </w:tcPr>
          <w:p w14:paraId="6010C3F5"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-0.552***</w:t>
            </w:r>
          </w:p>
        </w:tc>
        <w:tc>
          <w:tcPr>
            <w:tcW w:w="587" w:type="pct"/>
            <w:tcBorders>
              <w:top w:val="nil"/>
              <w:left w:val="nil"/>
              <w:bottom w:val="nil"/>
              <w:right w:val="nil"/>
            </w:tcBorders>
            <w:shd w:val="clear" w:color="auto" w:fill="auto"/>
            <w:noWrap/>
            <w:vAlign w:val="center"/>
            <w:hideMark/>
          </w:tcPr>
          <w:p w14:paraId="7E3A6E5C"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-1.023***</w:t>
            </w:r>
          </w:p>
        </w:tc>
      </w:tr>
      <w:tr w:rsidR="00204055" w:rsidRPr="00E81CC3" w14:paraId="1D232BD6" w14:textId="77777777" w:rsidTr="000D1E0B">
        <w:trPr>
          <w:trHeight w:val="20"/>
        </w:trPr>
        <w:tc>
          <w:tcPr>
            <w:tcW w:w="2064" w:type="pct"/>
            <w:tcBorders>
              <w:top w:val="nil"/>
              <w:left w:val="nil"/>
              <w:bottom w:val="single" w:sz="8" w:space="0" w:color="auto"/>
              <w:right w:val="nil"/>
            </w:tcBorders>
            <w:shd w:val="clear" w:color="auto" w:fill="auto"/>
            <w:noWrap/>
            <w:vAlign w:val="center"/>
            <w:hideMark/>
          </w:tcPr>
          <w:p w14:paraId="3C708A08"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w:t>
            </w:r>
          </w:p>
        </w:tc>
        <w:tc>
          <w:tcPr>
            <w:tcW w:w="587" w:type="pct"/>
            <w:tcBorders>
              <w:top w:val="nil"/>
              <w:left w:val="nil"/>
              <w:bottom w:val="single" w:sz="8" w:space="0" w:color="auto"/>
              <w:right w:val="nil"/>
            </w:tcBorders>
            <w:shd w:val="clear" w:color="auto" w:fill="auto"/>
            <w:noWrap/>
            <w:vAlign w:val="center"/>
            <w:hideMark/>
          </w:tcPr>
          <w:p w14:paraId="446C2455"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w:t>
            </w:r>
          </w:p>
        </w:tc>
        <w:tc>
          <w:tcPr>
            <w:tcW w:w="587" w:type="pct"/>
            <w:tcBorders>
              <w:top w:val="nil"/>
              <w:left w:val="nil"/>
              <w:bottom w:val="single" w:sz="8" w:space="0" w:color="auto"/>
              <w:right w:val="nil"/>
            </w:tcBorders>
            <w:shd w:val="clear" w:color="auto" w:fill="auto"/>
            <w:noWrap/>
            <w:vAlign w:val="center"/>
            <w:hideMark/>
          </w:tcPr>
          <w:p w14:paraId="03BA990A"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w:t>
            </w:r>
          </w:p>
        </w:tc>
        <w:tc>
          <w:tcPr>
            <w:tcW w:w="587" w:type="pct"/>
            <w:tcBorders>
              <w:top w:val="nil"/>
              <w:left w:val="nil"/>
              <w:bottom w:val="single" w:sz="8" w:space="0" w:color="auto"/>
              <w:right w:val="nil"/>
            </w:tcBorders>
            <w:shd w:val="clear" w:color="auto" w:fill="auto"/>
            <w:noWrap/>
            <w:vAlign w:val="center"/>
            <w:hideMark/>
          </w:tcPr>
          <w:p w14:paraId="288DC50A"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w:t>
            </w:r>
          </w:p>
        </w:tc>
        <w:tc>
          <w:tcPr>
            <w:tcW w:w="587" w:type="pct"/>
            <w:tcBorders>
              <w:top w:val="nil"/>
              <w:left w:val="nil"/>
              <w:bottom w:val="single" w:sz="8" w:space="0" w:color="auto"/>
              <w:right w:val="nil"/>
            </w:tcBorders>
            <w:shd w:val="clear" w:color="auto" w:fill="auto"/>
            <w:noWrap/>
            <w:vAlign w:val="center"/>
            <w:hideMark/>
          </w:tcPr>
          <w:p w14:paraId="61CCD125"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w:t>
            </w:r>
          </w:p>
        </w:tc>
        <w:tc>
          <w:tcPr>
            <w:tcW w:w="587" w:type="pct"/>
            <w:tcBorders>
              <w:top w:val="nil"/>
              <w:left w:val="nil"/>
              <w:bottom w:val="single" w:sz="8" w:space="0" w:color="auto"/>
              <w:right w:val="nil"/>
            </w:tcBorders>
            <w:shd w:val="clear" w:color="auto" w:fill="auto"/>
            <w:noWrap/>
            <w:vAlign w:val="center"/>
            <w:hideMark/>
          </w:tcPr>
          <w:p w14:paraId="09806158"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w:t>
            </w:r>
          </w:p>
        </w:tc>
      </w:tr>
      <w:tr w:rsidR="00204055" w:rsidRPr="00E81CC3" w14:paraId="212970D0" w14:textId="77777777" w:rsidTr="000D1E0B">
        <w:trPr>
          <w:trHeight w:val="20"/>
        </w:trPr>
        <w:tc>
          <w:tcPr>
            <w:tcW w:w="2064" w:type="pct"/>
            <w:tcBorders>
              <w:top w:val="nil"/>
              <w:left w:val="nil"/>
              <w:bottom w:val="nil"/>
              <w:right w:val="nil"/>
            </w:tcBorders>
            <w:shd w:val="clear" w:color="auto" w:fill="auto"/>
            <w:noWrap/>
            <w:vAlign w:val="center"/>
            <w:hideMark/>
          </w:tcPr>
          <w:p w14:paraId="6955736D"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Observations</w:t>
            </w:r>
          </w:p>
        </w:tc>
        <w:tc>
          <w:tcPr>
            <w:tcW w:w="587" w:type="pct"/>
            <w:tcBorders>
              <w:top w:val="nil"/>
              <w:left w:val="nil"/>
              <w:bottom w:val="nil"/>
              <w:right w:val="nil"/>
            </w:tcBorders>
            <w:shd w:val="clear" w:color="auto" w:fill="auto"/>
            <w:noWrap/>
            <w:vAlign w:val="center"/>
            <w:hideMark/>
          </w:tcPr>
          <w:p w14:paraId="0E3A0FC4"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 1,134 </w:t>
            </w:r>
          </w:p>
        </w:tc>
        <w:tc>
          <w:tcPr>
            <w:tcW w:w="587" w:type="pct"/>
            <w:tcBorders>
              <w:top w:val="nil"/>
              <w:left w:val="nil"/>
              <w:bottom w:val="nil"/>
              <w:right w:val="nil"/>
            </w:tcBorders>
            <w:shd w:val="clear" w:color="auto" w:fill="auto"/>
            <w:noWrap/>
            <w:vAlign w:val="center"/>
            <w:hideMark/>
          </w:tcPr>
          <w:p w14:paraId="647B8CA5"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 1,134 </w:t>
            </w:r>
          </w:p>
        </w:tc>
        <w:tc>
          <w:tcPr>
            <w:tcW w:w="587" w:type="pct"/>
            <w:tcBorders>
              <w:top w:val="nil"/>
              <w:left w:val="nil"/>
              <w:bottom w:val="nil"/>
              <w:right w:val="nil"/>
            </w:tcBorders>
            <w:shd w:val="clear" w:color="auto" w:fill="auto"/>
            <w:noWrap/>
            <w:vAlign w:val="center"/>
            <w:hideMark/>
          </w:tcPr>
          <w:p w14:paraId="72CF89DA"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 1,134 </w:t>
            </w:r>
          </w:p>
        </w:tc>
        <w:tc>
          <w:tcPr>
            <w:tcW w:w="587" w:type="pct"/>
            <w:tcBorders>
              <w:top w:val="nil"/>
              <w:left w:val="nil"/>
              <w:bottom w:val="nil"/>
              <w:right w:val="nil"/>
            </w:tcBorders>
            <w:shd w:val="clear" w:color="auto" w:fill="auto"/>
            <w:noWrap/>
            <w:vAlign w:val="center"/>
            <w:hideMark/>
          </w:tcPr>
          <w:p w14:paraId="1EE87053"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 1,134 </w:t>
            </w:r>
          </w:p>
        </w:tc>
        <w:tc>
          <w:tcPr>
            <w:tcW w:w="587" w:type="pct"/>
            <w:tcBorders>
              <w:top w:val="nil"/>
              <w:left w:val="nil"/>
              <w:bottom w:val="nil"/>
              <w:right w:val="nil"/>
            </w:tcBorders>
            <w:shd w:val="clear" w:color="auto" w:fill="auto"/>
            <w:noWrap/>
            <w:vAlign w:val="center"/>
            <w:hideMark/>
          </w:tcPr>
          <w:p w14:paraId="5629EB01"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 1,134 </w:t>
            </w:r>
          </w:p>
        </w:tc>
      </w:tr>
      <w:tr w:rsidR="00204055" w:rsidRPr="00E81CC3" w14:paraId="2C19C59A" w14:textId="77777777" w:rsidTr="000D1E0B">
        <w:trPr>
          <w:trHeight w:val="20"/>
        </w:trPr>
        <w:tc>
          <w:tcPr>
            <w:tcW w:w="2064" w:type="pct"/>
            <w:tcBorders>
              <w:top w:val="nil"/>
              <w:left w:val="nil"/>
              <w:bottom w:val="nil"/>
              <w:right w:val="nil"/>
            </w:tcBorders>
            <w:shd w:val="clear" w:color="auto" w:fill="auto"/>
            <w:noWrap/>
            <w:vAlign w:val="center"/>
            <w:hideMark/>
          </w:tcPr>
          <w:p w14:paraId="4DD9A12C"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Log-Likelihood</w:t>
            </w:r>
          </w:p>
        </w:tc>
        <w:tc>
          <w:tcPr>
            <w:tcW w:w="587" w:type="pct"/>
            <w:tcBorders>
              <w:top w:val="nil"/>
              <w:left w:val="nil"/>
              <w:bottom w:val="nil"/>
              <w:right w:val="nil"/>
            </w:tcBorders>
            <w:shd w:val="clear" w:color="auto" w:fill="auto"/>
            <w:noWrap/>
            <w:vAlign w:val="center"/>
            <w:hideMark/>
          </w:tcPr>
          <w:p w14:paraId="3108E502"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-1,143</w:t>
            </w:r>
          </w:p>
        </w:tc>
        <w:tc>
          <w:tcPr>
            <w:tcW w:w="587" w:type="pct"/>
            <w:tcBorders>
              <w:top w:val="nil"/>
              <w:left w:val="nil"/>
              <w:bottom w:val="nil"/>
              <w:right w:val="nil"/>
            </w:tcBorders>
            <w:shd w:val="clear" w:color="auto" w:fill="auto"/>
            <w:noWrap/>
            <w:vAlign w:val="center"/>
            <w:hideMark/>
          </w:tcPr>
          <w:p w14:paraId="3D465744"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-1,136</w:t>
            </w:r>
          </w:p>
        </w:tc>
        <w:tc>
          <w:tcPr>
            <w:tcW w:w="587" w:type="pct"/>
            <w:tcBorders>
              <w:top w:val="nil"/>
              <w:left w:val="nil"/>
              <w:bottom w:val="nil"/>
              <w:right w:val="nil"/>
            </w:tcBorders>
            <w:shd w:val="clear" w:color="auto" w:fill="auto"/>
            <w:noWrap/>
            <w:vAlign w:val="center"/>
            <w:hideMark/>
          </w:tcPr>
          <w:p w14:paraId="4E8EA7DD"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-1,132</w:t>
            </w:r>
          </w:p>
        </w:tc>
        <w:tc>
          <w:tcPr>
            <w:tcW w:w="587" w:type="pct"/>
            <w:tcBorders>
              <w:top w:val="nil"/>
              <w:left w:val="nil"/>
              <w:bottom w:val="nil"/>
              <w:right w:val="nil"/>
            </w:tcBorders>
            <w:shd w:val="clear" w:color="auto" w:fill="auto"/>
            <w:noWrap/>
            <w:vAlign w:val="center"/>
            <w:hideMark/>
          </w:tcPr>
          <w:p w14:paraId="51CAB328"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-983</w:t>
            </w:r>
          </w:p>
        </w:tc>
        <w:tc>
          <w:tcPr>
            <w:tcW w:w="587" w:type="pct"/>
            <w:tcBorders>
              <w:top w:val="nil"/>
              <w:left w:val="nil"/>
              <w:bottom w:val="nil"/>
              <w:right w:val="nil"/>
            </w:tcBorders>
            <w:shd w:val="clear" w:color="auto" w:fill="auto"/>
            <w:noWrap/>
            <w:vAlign w:val="center"/>
            <w:hideMark/>
          </w:tcPr>
          <w:p w14:paraId="6847F89E"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-449</w:t>
            </w:r>
          </w:p>
        </w:tc>
      </w:tr>
      <w:tr w:rsidR="00204055" w:rsidRPr="00E81CC3" w14:paraId="5B3E5A72" w14:textId="77777777" w:rsidTr="000D1E0B">
        <w:trPr>
          <w:trHeight w:val="20"/>
        </w:trPr>
        <w:tc>
          <w:tcPr>
            <w:tcW w:w="2064" w:type="pct"/>
            <w:tcBorders>
              <w:top w:val="nil"/>
              <w:left w:val="nil"/>
              <w:bottom w:val="nil"/>
              <w:right w:val="nil"/>
            </w:tcBorders>
            <w:shd w:val="clear" w:color="auto" w:fill="auto"/>
            <w:noWrap/>
            <w:vAlign w:val="center"/>
            <w:hideMark/>
          </w:tcPr>
          <w:p w14:paraId="73BE769D" w14:textId="77777777" w:rsidR="00204055" w:rsidRPr="00E81CC3" w:rsidRDefault="00204055" w:rsidP="000D1E0B">
            <w:pPr>
              <w:spacing w:after="0" w:line="240" w:lineRule="auto"/>
              <w:rPr>
                <w:rFonts w:ascii="Garamond" w:eastAsia="Times New Roman" w:hAnsi="Garamond" w:cs="Times New Roman"/>
                <w:color w:val="000000"/>
                <w:sz w:val="14"/>
                <w:szCs w:val="16"/>
              </w:rPr>
            </w:pPr>
            <w:proofErr w:type="spellStart"/>
            <w:r w:rsidRPr="00E81CC3">
              <w:rPr>
                <w:rFonts w:ascii="Garamond" w:eastAsia="Times New Roman" w:hAnsi="Garamond" w:cs="Times New Roman"/>
                <w:color w:val="000000"/>
                <w:sz w:val="14"/>
                <w:szCs w:val="16"/>
              </w:rPr>
              <w:t>Akaike</w:t>
            </w:r>
            <w:proofErr w:type="spellEnd"/>
            <w:r w:rsidRPr="00E81CC3">
              <w:rPr>
                <w:rFonts w:ascii="Garamond" w:eastAsia="Times New Roman" w:hAnsi="Garamond" w:cs="Times New Roman"/>
                <w:color w:val="000000"/>
                <w:sz w:val="14"/>
                <w:szCs w:val="16"/>
              </w:rPr>
              <w:t xml:space="preserve"> Information Criteria (AIC)</w:t>
            </w:r>
          </w:p>
        </w:tc>
        <w:tc>
          <w:tcPr>
            <w:tcW w:w="587" w:type="pct"/>
            <w:tcBorders>
              <w:top w:val="nil"/>
              <w:left w:val="nil"/>
              <w:bottom w:val="nil"/>
              <w:right w:val="nil"/>
            </w:tcBorders>
            <w:shd w:val="clear" w:color="auto" w:fill="auto"/>
            <w:noWrap/>
            <w:vAlign w:val="center"/>
            <w:hideMark/>
          </w:tcPr>
          <w:p w14:paraId="6CD964C9"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2,304</w:t>
            </w:r>
          </w:p>
        </w:tc>
        <w:tc>
          <w:tcPr>
            <w:tcW w:w="587" w:type="pct"/>
            <w:tcBorders>
              <w:top w:val="nil"/>
              <w:left w:val="nil"/>
              <w:bottom w:val="nil"/>
              <w:right w:val="nil"/>
            </w:tcBorders>
            <w:shd w:val="clear" w:color="auto" w:fill="auto"/>
            <w:noWrap/>
            <w:vAlign w:val="center"/>
            <w:hideMark/>
          </w:tcPr>
          <w:p w14:paraId="6AFC67AE"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2,293</w:t>
            </w:r>
          </w:p>
        </w:tc>
        <w:tc>
          <w:tcPr>
            <w:tcW w:w="587" w:type="pct"/>
            <w:tcBorders>
              <w:top w:val="nil"/>
              <w:left w:val="nil"/>
              <w:bottom w:val="nil"/>
              <w:right w:val="nil"/>
            </w:tcBorders>
            <w:shd w:val="clear" w:color="auto" w:fill="auto"/>
            <w:noWrap/>
            <w:vAlign w:val="center"/>
            <w:hideMark/>
          </w:tcPr>
          <w:p w14:paraId="7022775E"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2,290</w:t>
            </w:r>
          </w:p>
        </w:tc>
        <w:tc>
          <w:tcPr>
            <w:tcW w:w="587" w:type="pct"/>
            <w:tcBorders>
              <w:top w:val="nil"/>
              <w:left w:val="nil"/>
              <w:bottom w:val="nil"/>
              <w:right w:val="nil"/>
            </w:tcBorders>
            <w:shd w:val="clear" w:color="auto" w:fill="auto"/>
            <w:noWrap/>
            <w:vAlign w:val="center"/>
            <w:hideMark/>
          </w:tcPr>
          <w:p w14:paraId="754A4669"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1,999</w:t>
            </w:r>
          </w:p>
        </w:tc>
        <w:tc>
          <w:tcPr>
            <w:tcW w:w="587" w:type="pct"/>
            <w:tcBorders>
              <w:top w:val="nil"/>
              <w:left w:val="nil"/>
              <w:bottom w:val="nil"/>
              <w:right w:val="nil"/>
            </w:tcBorders>
            <w:shd w:val="clear" w:color="auto" w:fill="auto"/>
            <w:noWrap/>
            <w:vAlign w:val="center"/>
            <w:hideMark/>
          </w:tcPr>
          <w:p w14:paraId="3D7C0E53"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939</w:t>
            </w:r>
          </w:p>
        </w:tc>
      </w:tr>
      <w:tr w:rsidR="00204055" w:rsidRPr="00E81CC3" w14:paraId="04A9A156" w14:textId="77777777" w:rsidTr="000D1E0B">
        <w:trPr>
          <w:trHeight w:val="20"/>
        </w:trPr>
        <w:tc>
          <w:tcPr>
            <w:tcW w:w="2064" w:type="pct"/>
            <w:tcBorders>
              <w:top w:val="nil"/>
              <w:left w:val="nil"/>
              <w:bottom w:val="single" w:sz="8" w:space="0" w:color="auto"/>
              <w:right w:val="nil"/>
            </w:tcBorders>
            <w:shd w:val="clear" w:color="auto" w:fill="auto"/>
            <w:noWrap/>
            <w:vAlign w:val="center"/>
            <w:hideMark/>
          </w:tcPr>
          <w:p w14:paraId="0220AE85"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Bayesian Information Criteria (BIC)</w:t>
            </w:r>
          </w:p>
        </w:tc>
        <w:tc>
          <w:tcPr>
            <w:tcW w:w="587" w:type="pct"/>
            <w:tcBorders>
              <w:top w:val="nil"/>
              <w:left w:val="nil"/>
              <w:bottom w:val="single" w:sz="8" w:space="0" w:color="auto"/>
              <w:right w:val="nil"/>
            </w:tcBorders>
            <w:shd w:val="clear" w:color="auto" w:fill="auto"/>
            <w:noWrap/>
            <w:vAlign w:val="center"/>
            <w:hideMark/>
          </w:tcPr>
          <w:p w14:paraId="3AD3D565"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2,349</w:t>
            </w:r>
          </w:p>
        </w:tc>
        <w:tc>
          <w:tcPr>
            <w:tcW w:w="587" w:type="pct"/>
            <w:tcBorders>
              <w:top w:val="nil"/>
              <w:left w:val="nil"/>
              <w:bottom w:val="single" w:sz="8" w:space="0" w:color="auto"/>
              <w:right w:val="nil"/>
            </w:tcBorders>
            <w:shd w:val="clear" w:color="auto" w:fill="auto"/>
            <w:noWrap/>
            <w:vAlign w:val="center"/>
            <w:hideMark/>
          </w:tcPr>
          <w:p w14:paraId="6BAE5C8E"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2,349</w:t>
            </w:r>
          </w:p>
        </w:tc>
        <w:tc>
          <w:tcPr>
            <w:tcW w:w="587" w:type="pct"/>
            <w:tcBorders>
              <w:top w:val="nil"/>
              <w:left w:val="nil"/>
              <w:bottom w:val="single" w:sz="8" w:space="0" w:color="auto"/>
              <w:right w:val="nil"/>
            </w:tcBorders>
            <w:shd w:val="clear" w:color="auto" w:fill="auto"/>
            <w:noWrap/>
            <w:vAlign w:val="center"/>
            <w:hideMark/>
          </w:tcPr>
          <w:p w14:paraId="1B21B4C4"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2,356</w:t>
            </w:r>
          </w:p>
        </w:tc>
        <w:tc>
          <w:tcPr>
            <w:tcW w:w="587" w:type="pct"/>
            <w:tcBorders>
              <w:top w:val="nil"/>
              <w:left w:val="nil"/>
              <w:bottom w:val="single" w:sz="8" w:space="0" w:color="auto"/>
              <w:right w:val="nil"/>
            </w:tcBorders>
            <w:shd w:val="clear" w:color="auto" w:fill="auto"/>
            <w:noWrap/>
            <w:vAlign w:val="center"/>
            <w:hideMark/>
          </w:tcPr>
          <w:p w14:paraId="77207C5F"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2,085</w:t>
            </w:r>
          </w:p>
        </w:tc>
        <w:tc>
          <w:tcPr>
            <w:tcW w:w="587" w:type="pct"/>
            <w:tcBorders>
              <w:top w:val="nil"/>
              <w:left w:val="nil"/>
              <w:bottom w:val="single" w:sz="8" w:space="0" w:color="auto"/>
              <w:right w:val="nil"/>
            </w:tcBorders>
            <w:shd w:val="clear" w:color="auto" w:fill="auto"/>
            <w:noWrap/>
            <w:vAlign w:val="center"/>
            <w:hideMark/>
          </w:tcPr>
          <w:p w14:paraId="3450390E"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1,039</w:t>
            </w:r>
          </w:p>
        </w:tc>
      </w:tr>
      <w:tr w:rsidR="00204055" w:rsidRPr="00E81CC3" w14:paraId="5ACA1976" w14:textId="77777777" w:rsidTr="000D1E0B">
        <w:trPr>
          <w:trHeight w:val="20"/>
        </w:trPr>
        <w:tc>
          <w:tcPr>
            <w:tcW w:w="2064" w:type="pct"/>
            <w:vMerge w:val="restart"/>
            <w:tcBorders>
              <w:top w:val="nil"/>
              <w:left w:val="nil"/>
              <w:bottom w:val="nil"/>
              <w:right w:val="nil"/>
            </w:tcBorders>
            <w:shd w:val="clear" w:color="auto" w:fill="auto"/>
            <w:noWrap/>
            <w:vAlign w:val="center"/>
            <w:hideMark/>
          </w:tcPr>
          <w:p w14:paraId="7A9F0C26"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w:t>
            </w:r>
          </w:p>
        </w:tc>
        <w:tc>
          <w:tcPr>
            <w:tcW w:w="2936" w:type="pct"/>
            <w:gridSpan w:val="5"/>
            <w:tcBorders>
              <w:top w:val="single" w:sz="8" w:space="0" w:color="auto"/>
              <w:left w:val="nil"/>
              <w:bottom w:val="nil"/>
              <w:right w:val="nil"/>
            </w:tcBorders>
            <w:shd w:val="clear" w:color="auto" w:fill="auto"/>
            <w:noWrap/>
            <w:vAlign w:val="center"/>
            <w:hideMark/>
          </w:tcPr>
          <w:p w14:paraId="42A1F894"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Robust standard errors</w:t>
            </w:r>
          </w:p>
        </w:tc>
      </w:tr>
      <w:tr w:rsidR="00204055" w:rsidRPr="00E81CC3" w14:paraId="47204100" w14:textId="77777777" w:rsidTr="000D1E0B">
        <w:trPr>
          <w:trHeight w:val="20"/>
        </w:trPr>
        <w:tc>
          <w:tcPr>
            <w:tcW w:w="2064" w:type="pct"/>
            <w:vMerge/>
            <w:tcBorders>
              <w:top w:val="nil"/>
              <w:left w:val="nil"/>
              <w:bottom w:val="nil"/>
              <w:right w:val="nil"/>
            </w:tcBorders>
            <w:vAlign w:val="center"/>
            <w:hideMark/>
          </w:tcPr>
          <w:p w14:paraId="163F9997" w14:textId="77777777" w:rsidR="00204055" w:rsidRPr="00E81CC3" w:rsidRDefault="00204055" w:rsidP="000D1E0B">
            <w:pPr>
              <w:spacing w:after="0" w:line="240" w:lineRule="auto"/>
              <w:rPr>
                <w:rFonts w:ascii="Garamond" w:eastAsia="Times New Roman" w:hAnsi="Garamond" w:cs="Times New Roman"/>
                <w:color w:val="000000"/>
                <w:sz w:val="14"/>
                <w:szCs w:val="16"/>
              </w:rPr>
            </w:pPr>
          </w:p>
        </w:tc>
        <w:tc>
          <w:tcPr>
            <w:tcW w:w="2936" w:type="pct"/>
            <w:gridSpan w:val="5"/>
            <w:tcBorders>
              <w:top w:val="nil"/>
              <w:left w:val="nil"/>
              <w:bottom w:val="nil"/>
              <w:right w:val="nil"/>
            </w:tcBorders>
            <w:shd w:val="clear" w:color="auto" w:fill="auto"/>
            <w:noWrap/>
            <w:vAlign w:val="center"/>
            <w:hideMark/>
          </w:tcPr>
          <w:p w14:paraId="20F3E18A"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Legend: * p&lt;0.1; ** p&lt;0.05; *** p&lt;0.01</w:t>
            </w:r>
          </w:p>
        </w:tc>
      </w:tr>
    </w:tbl>
    <w:p w14:paraId="3B6A7CFC" w14:textId="77777777" w:rsidR="00204055" w:rsidRDefault="00204055" w:rsidP="00D16397">
      <w:pPr>
        <w:spacing w:line="480" w:lineRule="auto"/>
        <w:rPr>
          <w:rFonts w:ascii="Times New Roman" w:hAnsi="Times New Roman" w:cs="Times New Roman"/>
          <w:b/>
          <w:sz w:val="24"/>
          <w:szCs w:val="24"/>
        </w:rPr>
      </w:pPr>
    </w:p>
    <w:p w14:paraId="7F499D2B" w14:textId="77777777" w:rsidR="00204055" w:rsidRPr="00623015" w:rsidRDefault="00204055" w:rsidP="00D16397">
      <w:pPr>
        <w:spacing w:line="480" w:lineRule="auto"/>
        <w:rPr>
          <w:rFonts w:ascii="Times New Roman" w:hAnsi="Times New Roman" w:cs="Times New Roman"/>
          <w:b/>
          <w:sz w:val="20"/>
          <w:szCs w:val="20"/>
        </w:rPr>
      </w:pPr>
      <w:r w:rsidRPr="00623015">
        <w:rPr>
          <w:rFonts w:ascii="Times New Roman" w:hAnsi="Times New Roman" w:cs="Times New Roman"/>
          <w:b/>
          <w:sz w:val="20"/>
          <w:szCs w:val="20"/>
        </w:rPr>
        <w:t>Table 4: Robustness for case duration model</w:t>
      </w:r>
    </w:p>
    <w:tbl>
      <w:tblPr>
        <w:tblW w:w="8200" w:type="dxa"/>
        <w:jc w:val="center"/>
        <w:tblLook w:val="04A0" w:firstRow="1" w:lastRow="0" w:firstColumn="1" w:lastColumn="0" w:noHBand="0" w:noVBand="1"/>
      </w:tblPr>
      <w:tblGrid>
        <w:gridCol w:w="3563"/>
        <w:gridCol w:w="914"/>
        <w:gridCol w:w="798"/>
        <w:gridCol w:w="817"/>
        <w:gridCol w:w="855"/>
        <w:gridCol w:w="781"/>
        <w:gridCol w:w="733"/>
      </w:tblGrid>
      <w:tr w:rsidR="00204055" w:rsidRPr="00E81CC3" w14:paraId="05F7B15B" w14:textId="77777777" w:rsidTr="00DE3A10">
        <w:trPr>
          <w:trHeight w:val="20"/>
          <w:jc w:val="center"/>
        </w:trPr>
        <w:tc>
          <w:tcPr>
            <w:tcW w:w="0" w:type="auto"/>
            <w:tcBorders>
              <w:top w:val="single" w:sz="8" w:space="0" w:color="auto"/>
              <w:left w:val="nil"/>
              <w:bottom w:val="nil"/>
              <w:right w:val="nil"/>
            </w:tcBorders>
            <w:shd w:val="clear" w:color="auto" w:fill="auto"/>
            <w:noWrap/>
            <w:vAlign w:val="center"/>
            <w:hideMark/>
          </w:tcPr>
          <w:p w14:paraId="461F81B7" w14:textId="77777777" w:rsidR="00204055" w:rsidRPr="00E81CC3" w:rsidRDefault="00204055" w:rsidP="000D1E0B">
            <w:pPr>
              <w:spacing w:after="0" w:line="240" w:lineRule="auto"/>
              <w:rPr>
                <w:rFonts w:ascii="Garamond" w:eastAsia="Times New Roman" w:hAnsi="Garamond" w:cs="Times New Roman"/>
                <w:b/>
                <w:bCs/>
                <w:color w:val="000000"/>
                <w:sz w:val="14"/>
                <w:szCs w:val="16"/>
              </w:rPr>
            </w:pPr>
            <w:r w:rsidRPr="00E81CC3">
              <w:rPr>
                <w:rFonts w:ascii="Garamond" w:eastAsia="Times New Roman" w:hAnsi="Garamond" w:cs="Times New Roman"/>
                <w:b/>
                <w:bCs/>
                <w:color w:val="000000"/>
                <w:sz w:val="14"/>
                <w:szCs w:val="16"/>
              </w:rPr>
              <w:t>Dependent variable: Time to decision t</w:t>
            </w:r>
          </w:p>
        </w:tc>
        <w:tc>
          <w:tcPr>
            <w:tcW w:w="4776" w:type="dxa"/>
            <w:gridSpan w:val="6"/>
            <w:tcBorders>
              <w:top w:val="single" w:sz="8" w:space="0" w:color="auto"/>
              <w:left w:val="nil"/>
              <w:bottom w:val="nil"/>
              <w:right w:val="nil"/>
            </w:tcBorders>
            <w:shd w:val="clear" w:color="auto" w:fill="auto"/>
            <w:noWrap/>
            <w:vAlign w:val="center"/>
            <w:hideMark/>
          </w:tcPr>
          <w:p w14:paraId="41C03680"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Assumed parametric distribution</w:t>
            </w:r>
          </w:p>
        </w:tc>
      </w:tr>
      <w:tr w:rsidR="00204055" w:rsidRPr="00E81CC3" w14:paraId="239862D0" w14:textId="77777777" w:rsidTr="00DE3A10">
        <w:trPr>
          <w:trHeight w:val="20"/>
          <w:jc w:val="center"/>
        </w:trPr>
        <w:tc>
          <w:tcPr>
            <w:tcW w:w="0" w:type="auto"/>
            <w:tcBorders>
              <w:top w:val="nil"/>
              <w:left w:val="nil"/>
              <w:bottom w:val="nil"/>
              <w:right w:val="nil"/>
            </w:tcBorders>
            <w:shd w:val="clear" w:color="auto" w:fill="auto"/>
            <w:noWrap/>
            <w:vAlign w:val="center"/>
            <w:hideMark/>
          </w:tcPr>
          <w:p w14:paraId="0A5BB645"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Independent variables:</w:t>
            </w:r>
          </w:p>
        </w:tc>
        <w:tc>
          <w:tcPr>
            <w:tcW w:w="914" w:type="dxa"/>
            <w:tcBorders>
              <w:top w:val="nil"/>
              <w:left w:val="nil"/>
              <w:bottom w:val="nil"/>
              <w:right w:val="nil"/>
            </w:tcBorders>
            <w:shd w:val="clear" w:color="auto" w:fill="auto"/>
            <w:noWrap/>
            <w:vAlign w:val="center"/>
            <w:hideMark/>
          </w:tcPr>
          <w:p w14:paraId="7B6C301B"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Exponential</w:t>
            </w:r>
          </w:p>
        </w:tc>
        <w:tc>
          <w:tcPr>
            <w:tcW w:w="0" w:type="auto"/>
            <w:tcBorders>
              <w:top w:val="nil"/>
              <w:left w:val="nil"/>
              <w:bottom w:val="nil"/>
              <w:right w:val="nil"/>
            </w:tcBorders>
            <w:shd w:val="clear" w:color="auto" w:fill="auto"/>
            <w:noWrap/>
            <w:vAlign w:val="center"/>
            <w:hideMark/>
          </w:tcPr>
          <w:p w14:paraId="007E811C"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Weibull</w:t>
            </w:r>
          </w:p>
        </w:tc>
        <w:tc>
          <w:tcPr>
            <w:tcW w:w="0" w:type="auto"/>
            <w:tcBorders>
              <w:top w:val="nil"/>
              <w:left w:val="nil"/>
              <w:bottom w:val="nil"/>
              <w:right w:val="nil"/>
            </w:tcBorders>
            <w:shd w:val="clear" w:color="auto" w:fill="auto"/>
            <w:noWrap/>
            <w:vAlign w:val="center"/>
            <w:hideMark/>
          </w:tcPr>
          <w:p w14:paraId="102BC80C"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Lognormal</w:t>
            </w:r>
          </w:p>
        </w:tc>
        <w:tc>
          <w:tcPr>
            <w:tcW w:w="0" w:type="auto"/>
            <w:tcBorders>
              <w:top w:val="nil"/>
              <w:left w:val="nil"/>
              <w:bottom w:val="nil"/>
              <w:right w:val="nil"/>
            </w:tcBorders>
            <w:shd w:val="clear" w:color="auto" w:fill="auto"/>
            <w:noWrap/>
            <w:vAlign w:val="center"/>
            <w:hideMark/>
          </w:tcPr>
          <w:p w14:paraId="7AA622AA"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Log-logistic</w:t>
            </w:r>
          </w:p>
        </w:tc>
        <w:tc>
          <w:tcPr>
            <w:tcW w:w="0" w:type="auto"/>
            <w:tcBorders>
              <w:top w:val="nil"/>
              <w:left w:val="nil"/>
              <w:bottom w:val="nil"/>
              <w:right w:val="nil"/>
            </w:tcBorders>
            <w:shd w:val="clear" w:color="auto" w:fill="auto"/>
            <w:noWrap/>
            <w:vAlign w:val="center"/>
            <w:hideMark/>
          </w:tcPr>
          <w:p w14:paraId="528CC2D7"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roofErr w:type="spellStart"/>
            <w:r w:rsidRPr="00E81CC3">
              <w:rPr>
                <w:rFonts w:ascii="Garamond" w:eastAsia="Times New Roman" w:hAnsi="Garamond" w:cs="Times New Roman"/>
                <w:color w:val="000000"/>
                <w:sz w:val="14"/>
                <w:szCs w:val="16"/>
              </w:rPr>
              <w:t>Gompertz</w:t>
            </w:r>
            <w:proofErr w:type="spellEnd"/>
          </w:p>
        </w:tc>
        <w:tc>
          <w:tcPr>
            <w:tcW w:w="0" w:type="auto"/>
            <w:tcBorders>
              <w:top w:val="nil"/>
              <w:left w:val="nil"/>
              <w:bottom w:val="nil"/>
              <w:right w:val="nil"/>
            </w:tcBorders>
            <w:shd w:val="clear" w:color="auto" w:fill="auto"/>
            <w:noWrap/>
            <w:vAlign w:val="center"/>
            <w:hideMark/>
          </w:tcPr>
          <w:p w14:paraId="7D1B83B3"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Gamma </w:t>
            </w:r>
          </w:p>
        </w:tc>
      </w:tr>
      <w:tr w:rsidR="00204055" w:rsidRPr="00E81CC3" w14:paraId="12233D4A" w14:textId="77777777" w:rsidTr="00DE3A10">
        <w:trPr>
          <w:trHeight w:val="20"/>
          <w:jc w:val="center"/>
        </w:trPr>
        <w:tc>
          <w:tcPr>
            <w:tcW w:w="0" w:type="auto"/>
            <w:tcBorders>
              <w:top w:val="nil"/>
              <w:left w:val="nil"/>
              <w:bottom w:val="nil"/>
              <w:right w:val="nil"/>
            </w:tcBorders>
            <w:shd w:val="clear" w:color="auto" w:fill="auto"/>
            <w:noWrap/>
            <w:vAlign w:val="center"/>
            <w:hideMark/>
          </w:tcPr>
          <w:p w14:paraId="281397E9"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914" w:type="dxa"/>
            <w:tcBorders>
              <w:top w:val="nil"/>
              <w:left w:val="nil"/>
              <w:bottom w:val="nil"/>
              <w:right w:val="nil"/>
            </w:tcBorders>
            <w:shd w:val="clear" w:color="auto" w:fill="auto"/>
            <w:noWrap/>
            <w:vAlign w:val="center"/>
            <w:hideMark/>
          </w:tcPr>
          <w:p w14:paraId="12B79107" w14:textId="77777777" w:rsidR="00204055" w:rsidRPr="00E81CC3" w:rsidRDefault="00204055" w:rsidP="000D1E0B">
            <w:pPr>
              <w:spacing w:after="0" w:line="240" w:lineRule="auto"/>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274362AE"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5F2D7C55"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6F07C1E3"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17A608B8"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57A93A02"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0C30F23E" w14:textId="77777777" w:rsidTr="00DE3A10">
        <w:trPr>
          <w:trHeight w:val="20"/>
          <w:jc w:val="center"/>
        </w:trPr>
        <w:tc>
          <w:tcPr>
            <w:tcW w:w="4338" w:type="dxa"/>
            <w:gridSpan w:val="2"/>
            <w:tcBorders>
              <w:top w:val="nil"/>
              <w:left w:val="nil"/>
              <w:bottom w:val="nil"/>
              <w:right w:val="nil"/>
            </w:tcBorders>
            <w:shd w:val="clear" w:color="auto" w:fill="auto"/>
            <w:noWrap/>
            <w:vAlign w:val="center"/>
            <w:hideMark/>
          </w:tcPr>
          <w:p w14:paraId="6CF2FC33"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r w:rsidRPr="00E81CC3">
              <w:rPr>
                <w:rFonts w:ascii="Garamond" w:eastAsia="Times New Roman" w:hAnsi="Garamond" w:cs="Times New Roman"/>
                <w:i/>
                <w:iCs/>
                <w:color w:val="000000"/>
                <w:sz w:val="14"/>
                <w:szCs w:val="16"/>
              </w:rPr>
              <w:t>Articled cited as formal errors (Base: Other article cited)</w:t>
            </w:r>
          </w:p>
        </w:tc>
        <w:tc>
          <w:tcPr>
            <w:tcW w:w="0" w:type="auto"/>
            <w:tcBorders>
              <w:top w:val="nil"/>
              <w:left w:val="nil"/>
              <w:bottom w:val="nil"/>
              <w:right w:val="nil"/>
            </w:tcBorders>
            <w:shd w:val="clear" w:color="auto" w:fill="auto"/>
            <w:noWrap/>
            <w:vAlign w:val="bottom"/>
            <w:hideMark/>
          </w:tcPr>
          <w:p w14:paraId="40C212D5"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p>
        </w:tc>
        <w:tc>
          <w:tcPr>
            <w:tcW w:w="0" w:type="auto"/>
            <w:tcBorders>
              <w:top w:val="nil"/>
              <w:left w:val="nil"/>
              <w:bottom w:val="nil"/>
              <w:right w:val="nil"/>
            </w:tcBorders>
            <w:shd w:val="clear" w:color="auto" w:fill="auto"/>
            <w:noWrap/>
            <w:vAlign w:val="bottom"/>
            <w:hideMark/>
          </w:tcPr>
          <w:p w14:paraId="70595B34" w14:textId="77777777" w:rsidR="00204055" w:rsidRPr="00E81CC3" w:rsidRDefault="00204055" w:rsidP="000D1E0B">
            <w:pPr>
              <w:spacing w:after="0" w:line="240" w:lineRule="auto"/>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bottom"/>
            <w:hideMark/>
          </w:tcPr>
          <w:p w14:paraId="2F0CD453" w14:textId="77777777" w:rsidR="00204055" w:rsidRPr="00E81CC3" w:rsidRDefault="00204055" w:rsidP="000D1E0B">
            <w:pPr>
              <w:spacing w:after="0" w:line="240" w:lineRule="auto"/>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bottom"/>
            <w:hideMark/>
          </w:tcPr>
          <w:p w14:paraId="1A3A4680" w14:textId="77777777" w:rsidR="00204055" w:rsidRPr="00E81CC3" w:rsidRDefault="00204055" w:rsidP="000D1E0B">
            <w:pPr>
              <w:spacing w:after="0" w:line="240" w:lineRule="auto"/>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bottom"/>
            <w:hideMark/>
          </w:tcPr>
          <w:p w14:paraId="48AF67E1" w14:textId="77777777" w:rsidR="00204055" w:rsidRPr="00E81CC3" w:rsidRDefault="00204055" w:rsidP="000D1E0B">
            <w:pPr>
              <w:spacing w:after="0" w:line="240" w:lineRule="auto"/>
              <w:rPr>
                <w:rFonts w:ascii="Garamond" w:eastAsia="Times New Roman" w:hAnsi="Garamond" w:cs="Times New Roman"/>
                <w:sz w:val="14"/>
                <w:szCs w:val="20"/>
              </w:rPr>
            </w:pPr>
          </w:p>
        </w:tc>
      </w:tr>
      <w:tr w:rsidR="00204055" w:rsidRPr="00E81CC3" w14:paraId="71251FEB" w14:textId="77777777" w:rsidTr="00DE3A10">
        <w:trPr>
          <w:trHeight w:val="20"/>
          <w:jc w:val="center"/>
        </w:trPr>
        <w:tc>
          <w:tcPr>
            <w:tcW w:w="0" w:type="auto"/>
            <w:tcBorders>
              <w:top w:val="nil"/>
              <w:left w:val="nil"/>
              <w:bottom w:val="nil"/>
              <w:right w:val="nil"/>
            </w:tcBorders>
            <w:shd w:val="clear" w:color="auto" w:fill="auto"/>
            <w:noWrap/>
            <w:vAlign w:val="center"/>
            <w:hideMark/>
          </w:tcPr>
          <w:p w14:paraId="4CC9DD49"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Art 1 cited</w:t>
            </w:r>
          </w:p>
        </w:tc>
        <w:tc>
          <w:tcPr>
            <w:tcW w:w="914" w:type="dxa"/>
            <w:tcBorders>
              <w:top w:val="nil"/>
              <w:left w:val="nil"/>
              <w:bottom w:val="nil"/>
              <w:right w:val="nil"/>
            </w:tcBorders>
            <w:shd w:val="clear" w:color="auto" w:fill="auto"/>
            <w:noWrap/>
            <w:vAlign w:val="center"/>
            <w:hideMark/>
          </w:tcPr>
          <w:p w14:paraId="773B0C2A"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-0.080*</w:t>
            </w:r>
          </w:p>
        </w:tc>
        <w:tc>
          <w:tcPr>
            <w:tcW w:w="0" w:type="auto"/>
            <w:tcBorders>
              <w:top w:val="nil"/>
              <w:left w:val="nil"/>
              <w:bottom w:val="nil"/>
              <w:right w:val="nil"/>
            </w:tcBorders>
            <w:shd w:val="clear" w:color="auto" w:fill="auto"/>
            <w:noWrap/>
            <w:vAlign w:val="center"/>
            <w:hideMark/>
          </w:tcPr>
          <w:p w14:paraId="2F4E8E83"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-0.161</w:t>
            </w:r>
          </w:p>
        </w:tc>
        <w:tc>
          <w:tcPr>
            <w:tcW w:w="0" w:type="auto"/>
            <w:tcBorders>
              <w:top w:val="nil"/>
              <w:left w:val="nil"/>
              <w:bottom w:val="nil"/>
              <w:right w:val="nil"/>
            </w:tcBorders>
            <w:shd w:val="clear" w:color="auto" w:fill="auto"/>
            <w:noWrap/>
            <w:vAlign w:val="center"/>
            <w:hideMark/>
          </w:tcPr>
          <w:p w14:paraId="73BDF6C0"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0.093**</w:t>
            </w:r>
          </w:p>
        </w:tc>
        <w:tc>
          <w:tcPr>
            <w:tcW w:w="0" w:type="auto"/>
            <w:tcBorders>
              <w:top w:val="nil"/>
              <w:left w:val="nil"/>
              <w:bottom w:val="nil"/>
              <w:right w:val="nil"/>
            </w:tcBorders>
            <w:shd w:val="clear" w:color="auto" w:fill="auto"/>
            <w:noWrap/>
            <w:vAlign w:val="center"/>
            <w:hideMark/>
          </w:tcPr>
          <w:p w14:paraId="59B028AC"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0.099**</w:t>
            </w:r>
          </w:p>
        </w:tc>
        <w:tc>
          <w:tcPr>
            <w:tcW w:w="0" w:type="auto"/>
            <w:tcBorders>
              <w:top w:val="nil"/>
              <w:left w:val="nil"/>
              <w:bottom w:val="nil"/>
              <w:right w:val="nil"/>
            </w:tcBorders>
            <w:shd w:val="clear" w:color="auto" w:fill="auto"/>
            <w:noWrap/>
            <w:vAlign w:val="center"/>
            <w:hideMark/>
          </w:tcPr>
          <w:p w14:paraId="56153150"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-0.119</w:t>
            </w:r>
          </w:p>
        </w:tc>
        <w:tc>
          <w:tcPr>
            <w:tcW w:w="0" w:type="auto"/>
            <w:tcBorders>
              <w:top w:val="nil"/>
              <w:left w:val="nil"/>
              <w:bottom w:val="nil"/>
              <w:right w:val="nil"/>
            </w:tcBorders>
            <w:shd w:val="clear" w:color="auto" w:fill="auto"/>
            <w:noWrap/>
            <w:vAlign w:val="center"/>
            <w:hideMark/>
          </w:tcPr>
          <w:p w14:paraId="0611BA4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0.092** </w:t>
            </w:r>
          </w:p>
        </w:tc>
      </w:tr>
      <w:tr w:rsidR="00204055" w:rsidRPr="00E81CC3" w14:paraId="18D4C81E" w14:textId="77777777" w:rsidTr="00DE3A10">
        <w:trPr>
          <w:trHeight w:val="20"/>
          <w:jc w:val="center"/>
        </w:trPr>
        <w:tc>
          <w:tcPr>
            <w:tcW w:w="0" w:type="auto"/>
            <w:tcBorders>
              <w:top w:val="nil"/>
              <w:left w:val="nil"/>
              <w:bottom w:val="nil"/>
              <w:right w:val="nil"/>
            </w:tcBorders>
            <w:shd w:val="clear" w:color="auto" w:fill="auto"/>
            <w:noWrap/>
            <w:vAlign w:val="center"/>
            <w:hideMark/>
          </w:tcPr>
          <w:p w14:paraId="3846758E"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Art 2 cited</w:t>
            </w:r>
          </w:p>
        </w:tc>
        <w:tc>
          <w:tcPr>
            <w:tcW w:w="914" w:type="dxa"/>
            <w:tcBorders>
              <w:top w:val="nil"/>
              <w:left w:val="nil"/>
              <w:bottom w:val="nil"/>
              <w:right w:val="nil"/>
            </w:tcBorders>
            <w:shd w:val="clear" w:color="auto" w:fill="auto"/>
            <w:noWrap/>
            <w:vAlign w:val="center"/>
            <w:hideMark/>
          </w:tcPr>
          <w:p w14:paraId="021893B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0.06</w:t>
            </w:r>
          </w:p>
        </w:tc>
        <w:tc>
          <w:tcPr>
            <w:tcW w:w="0" w:type="auto"/>
            <w:tcBorders>
              <w:top w:val="nil"/>
              <w:left w:val="nil"/>
              <w:bottom w:val="nil"/>
              <w:right w:val="nil"/>
            </w:tcBorders>
            <w:shd w:val="clear" w:color="auto" w:fill="auto"/>
            <w:noWrap/>
            <w:vAlign w:val="center"/>
            <w:hideMark/>
          </w:tcPr>
          <w:p w14:paraId="03E89A9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0.131</w:t>
            </w:r>
          </w:p>
        </w:tc>
        <w:tc>
          <w:tcPr>
            <w:tcW w:w="0" w:type="auto"/>
            <w:tcBorders>
              <w:top w:val="nil"/>
              <w:left w:val="nil"/>
              <w:bottom w:val="nil"/>
              <w:right w:val="nil"/>
            </w:tcBorders>
            <w:shd w:val="clear" w:color="auto" w:fill="auto"/>
            <w:noWrap/>
            <w:vAlign w:val="center"/>
            <w:hideMark/>
          </w:tcPr>
          <w:p w14:paraId="0D807AE4"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-0.069</w:t>
            </w:r>
          </w:p>
        </w:tc>
        <w:tc>
          <w:tcPr>
            <w:tcW w:w="0" w:type="auto"/>
            <w:tcBorders>
              <w:top w:val="nil"/>
              <w:left w:val="nil"/>
              <w:bottom w:val="nil"/>
              <w:right w:val="nil"/>
            </w:tcBorders>
            <w:shd w:val="clear" w:color="auto" w:fill="auto"/>
            <w:noWrap/>
            <w:vAlign w:val="center"/>
            <w:hideMark/>
          </w:tcPr>
          <w:p w14:paraId="14F73EFC"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-0.077</w:t>
            </w:r>
          </w:p>
        </w:tc>
        <w:tc>
          <w:tcPr>
            <w:tcW w:w="0" w:type="auto"/>
            <w:tcBorders>
              <w:top w:val="nil"/>
              <w:left w:val="nil"/>
              <w:bottom w:val="nil"/>
              <w:right w:val="nil"/>
            </w:tcBorders>
            <w:shd w:val="clear" w:color="auto" w:fill="auto"/>
            <w:noWrap/>
            <w:vAlign w:val="center"/>
            <w:hideMark/>
          </w:tcPr>
          <w:p w14:paraId="6C37FCA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0.2</w:t>
            </w:r>
          </w:p>
        </w:tc>
        <w:tc>
          <w:tcPr>
            <w:tcW w:w="0" w:type="auto"/>
            <w:tcBorders>
              <w:top w:val="nil"/>
              <w:left w:val="nil"/>
              <w:bottom w:val="nil"/>
              <w:right w:val="nil"/>
            </w:tcBorders>
            <w:shd w:val="clear" w:color="auto" w:fill="auto"/>
            <w:noWrap/>
            <w:vAlign w:val="center"/>
            <w:hideMark/>
          </w:tcPr>
          <w:p w14:paraId="3AE5B16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-0.068</w:t>
            </w:r>
          </w:p>
        </w:tc>
      </w:tr>
      <w:tr w:rsidR="00204055" w:rsidRPr="00E81CC3" w14:paraId="461E26AB" w14:textId="77777777" w:rsidTr="00DE3A10">
        <w:trPr>
          <w:trHeight w:val="20"/>
          <w:jc w:val="center"/>
        </w:trPr>
        <w:tc>
          <w:tcPr>
            <w:tcW w:w="0" w:type="auto"/>
            <w:tcBorders>
              <w:top w:val="nil"/>
              <w:left w:val="nil"/>
              <w:bottom w:val="nil"/>
              <w:right w:val="nil"/>
            </w:tcBorders>
            <w:shd w:val="clear" w:color="auto" w:fill="auto"/>
            <w:noWrap/>
            <w:vAlign w:val="center"/>
            <w:hideMark/>
          </w:tcPr>
          <w:p w14:paraId="360DE3BE"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Art 3 cited</w:t>
            </w:r>
          </w:p>
        </w:tc>
        <w:tc>
          <w:tcPr>
            <w:tcW w:w="914" w:type="dxa"/>
            <w:tcBorders>
              <w:top w:val="nil"/>
              <w:left w:val="nil"/>
              <w:bottom w:val="nil"/>
              <w:right w:val="nil"/>
            </w:tcBorders>
            <w:shd w:val="clear" w:color="auto" w:fill="auto"/>
            <w:noWrap/>
            <w:vAlign w:val="center"/>
            <w:hideMark/>
          </w:tcPr>
          <w:p w14:paraId="4DE6B661"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0.047</w:t>
            </w:r>
          </w:p>
        </w:tc>
        <w:tc>
          <w:tcPr>
            <w:tcW w:w="0" w:type="auto"/>
            <w:tcBorders>
              <w:top w:val="nil"/>
              <w:left w:val="nil"/>
              <w:bottom w:val="nil"/>
              <w:right w:val="nil"/>
            </w:tcBorders>
            <w:shd w:val="clear" w:color="auto" w:fill="auto"/>
            <w:noWrap/>
            <w:vAlign w:val="center"/>
            <w:hideMark/>
          </w:tcPr>
          <w:p w14:paraId="26EF9695"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0.186</w:t>
            </w:r>
          </w:p>
        </w:tc>
        <w:tc>
          <w:tcPr>
            <w:tcW w:w="0" w:type="auto"/>
            <w:tcBorders>
              <w:top w:val="nil"/>
              <w:left w:val="nil"/>
              <w:bottom w:val="nil"/>
              <w:right w:val="nil"/>
            </w:tcBorders>
            <w:shd w:val="clear" w:color="auto" w:fill="auto"/>
            <w:noWrap/>
            <w:vAlign w:val="center"/>
            <w:hideMark/>
          </w:tcPr>
          <w:p w14:paraId="5070A8D2"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-0.038</w:t>
            </w:r>
          </w:p>
        </w:tc>
        <w:tc>
          <w:tcPr>
            <w:tcW w:w="0" w:type="auto"/>
            <w:tcBorders>
              <w:top w:val="nil"/>
              <w:left w:val="nil"/>
              <w:bottom w:val="nil"/>
              <w:right w:val="nil"/>
            </w:tcBorders>
            <w:shd w:val="clear" w:color="auto" w:fill="auto"/>
            <w:noWrap/>
            <w:vAlign w:val="center"/>
            <w:hideMark/>
          </w:tcPr>
          <w:p w14:paraId="0D096033"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-0.018</w:t>
            </w:r>
          </w:p>
        </w:tc>
        <w:tc>
          <w:tcPr>
            <w:tcW w:w="0" w:type="auto"/>
            <w:tcBorders>
              <w:top w:val="nil"/>
              <w:left w:val="nil"/>
              <w:bottom w:val="nil"/>
              <w:right w:val="nil"/>
            </w:tcBorders>
            <w:shd w:val="clear" w:color="auto" w:fill="auto"/>
            <w:noWrap/>
            <w:vAlign w:val="center"/>
            <w:hideMark/>
          </w:tcPr>
          <w:p w14:paraId="3BBC4B2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0.118</w:t>
            </w:r>
          </w:p>
        </w:tc>
        <w:tc>
          <w:tcPr>
            <w:tcW w:w="0" w:type="auto"/>
            <w:tcBorders>
              <w:top w:val="nil"/>
              <w:left w:val="nil"/>
              <w:bottom w:val="nil"/>
              <w:right w:val="nil"/>
            </w:tcBorders>
            <w:shd w:val="clear" w:color="auto" w:fill="auto"/>
            <w:noWrap/>
            <w:vAlign w:val="center"/>
            <w:hideMark/>
          </w:tcPr>
          <w:p w14:paraId="419D2EE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-0.039</w:t>
            </w:r>
          </w:p>
        </w:tc>
      </w:tr>
      <w:tr w:rsidR="00204055" w:rsidRPr="00E81CC3" w14:paraId="30F037D2" w14:textId="77777777" w:rsidTr="00DE3A10">
        <w:trPr>
          <w:trHeight w:val="20"/>
          <w:jc w:val="center"/>
        </w:trPr>
        <w:tc>
          <w:tcPr>
            <w:tcW w:w="0" w:type="auto"/>
            <w:tcBorders>
              <w:top w:val="nil"/>
              <w:left w:val="nil"/>
              <w:bottom w:val="nil"/>
              <w:right w:val="nil"/>
            </w:tcBorders>
            <w:shd w:val="clear" w:color="auto" w:fill="auto"/>
            <w:noWrap/>
            <w:vAlign w:val="center"/>
            <w:hideMark/>
          </w:tcPr>
          <w:p w14:paraId="0DBE4F88"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Art 4 cited</w:t>
            </w:r>
          </w:p>
        </w:tc>
        <w:tc>
          <w:tcPr>
            <w:tcW w:w="914" w:type="dxa"/>
            <w:tcBorders>
              <w:top w:val="nil"/>
              <w:left w:val="nil"/>
              <w:bottom w:val="nil"/>
              <w:right w:val="nil"/>
            </w:tcBorders>
            <w:shd w:val="clear" w:color="auto" w:fill="auto"/>
            <w:noWrap/>
            <w:vAlign w:val="center"/>
            <w:hideMark/>
          </w:tcPr>
          <w:p w14:paraId="58FDCCFA"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-0.009</w:t>
            </w:r>
          </w:p>
        </w:tc>
        <w:tc>
          <w:tcPr>
            <w:tcW w:w="0" w:type="auto"/>
            <w:tcBorders>
              <w:top w:val="nil"/>
              <w:left w:val="nil"/>
              <w:bottom w:val="nil"/>
              <w:right w:val="nil"/>
            </w:tcBorders>
            <w:shd w:val="clear" w:color="auto" w:fill="auto"/>
            <w:noWrap/>
            <w:vAlign w:val="center"/>
            <w:hideMark/>
          </w:tcPr>
          <w:p w14:paraId="1BAD71FB"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-0.063</w:t>
            </w:r>
          </w:p>
        </w:tc>
        <w:tc>
          <w:tcPr>
            <w:tcW w:w="0" w:type="auto"/>
            <w:tcBorders>
              <w:top w:val="nil"/>
              <w:left w:val="nil"/>
              <w:bottom w:val="nil"/>
              <w:right w:val="nil"/>
            </w:tcBorders>
            <w:shd w:val="clear" w:color="auto" w:fill="auto"/>
            <w:noWrap/>
            <w:vAlign w:val="center"/>
            <w:hideMark/>
          </w:tcPr>
          <w:p w14:paraId="67FA77E2"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-0.002</w:t>
            </w:r>
          </w:p>
        </w:tc>
        <w:tc>
          <w:tcPr>
            <w:tcW w:w="0" w:type="auto"/>
            <w:tcBorders>
              <w:top w:val="nil"/>
              <w:left w:val="nil"/>
              <w:bottom w:val="nil"/>
              <w:right w:val="nil"/>
            </w:tcBorders>
            <w:shd w:val="clear" w:color="auto" w:fill="auto"/>
            <w:noWrap/>
            <w:vAlign w:val="center"/>
            <w:hideMark/>
          </w:tcPr>
          <w:p w14:paraId="0ED600C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0.007</w:t>
            </w:r>
          </w:p>
        </w:tc>
        <w:tc>
          <w:tcPr>
            <w:tcW w:w="0" w:type="auto"/>
            <w:tcBorders>
              <w:top w:val="nil"/>
              <w:left w:val="nil"/>
              <w:bottom w:val="nil"/>
              <w:right w:val="nil"/>
            </w:tcBorders>
            <w:shd w:val="clear" w:color="auto" w:fill="auto"/>
            <w:noWrap/>
            <w:vAlign w:val="center"/>
            <w:hideMark/>
          </w:tcPr>
          <w:p w14:paraId="42E9A14C"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-0.103</w:t>
            </w:r>
          </w:p>
        </w:tc>
        <w:tc>
          <w:tcPr>
            <w:tcW w:w="0" w:type="auto"/>
            <w:tcBorders>
              <w:top w:val="nil"/>
              <w:left w:val="nil"/>
              <w:bottom w:val="nil"/>
              <w:right w:val="nil"/>
            </w:tcBorders>
            <w:shd w:val="clear" w:color="auto" w:fill="auto"/>
            <w:noWrap/>
            <w:vAlign w:val="center"/>
            <w:hideMark/>
          </w:tcPr>
          <w:p w14:paraId="17DDBED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w:t>
            </w:r>
          </w:p>
        </w:tc>
      </w:tr>
      <w:tr w:rsidR="00204055" w:rsidRPr="00E81CC3" w14:paraId="33EFC6E1" w14:textId="77777777" w:rsidTr="00DE3A10">
        <w:trPr>
          <w:trHeight w:val="20"/>
          <w:jc w:val="center"/>
        </w:trPr>
        <w:tc>
          <w:tcPr>
            <w:tcW w:w="0" w:type="auto"/>
            <w:tcBorders>
              <w:top w:val="nil"/>
              <w:left w:val="nil"/>
              <w:bottom w:val="nil"/>
              <w:right w:val="nil"/>
            </w:tcBorders>
            <w:shd w:val="clear" w:color="auto" w:fill="auto"/>
            <w:noWrap/>
            <w:vAlign w:val="center"/>
            <w:hideMark/>
          </w:tcPr>
          <w:p w14:paraId="0A9A3FB8"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Art 5 cited</w:t>
            </w:r>
          </w:p>
        </w:tc>
        <w:tc>
          <w:tcPr>
            <w:tcW w:w="914" w:type="dxa"/>
            <w:tcBorders>
              <w:top w:val="nil"/>
              <w:left w:val="nil"/>
              <w:bottom w:val="nil"/>
              <w:right w:val="nil"/>
            </w:tcBorders>
            <w:shd w:val="clear" w:color="auto" w:fill="auto"/>
            <w:noWrap/>
            <w:vAlign w:val="center"/>
            <w:hideMark/>
          </w:tcPr>
          <w:p w14:paraId="5A8B33C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w:t>
            </w:r>
          </w:p>
        </w:tc>
        <w:tc>
          <w:tcPr>
            <w:tcW w:w="0" w:type="auto"/>
            <w:tcBorders>
              <w:top w:val="nil"/>
              <w:left w:val="nil"/>
              <w:bottom w:val="nil"/>
              <w:right w:val="nil"/>
            </w:tcBorders>
            <w:shd w:val="clear" w:color="auto" w:fill="auto"/>
            <w:noWrap/>
            <w:vAlign w:val="center"/>
            <w:hideMark/>
          </w:tcPr>
          <w:p w14:paraId="294F6E5B"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0.187</w:t>
            </w:r>
          </w:p>
        </w:tc>
        <w:tc>
          <w:tcPr>
            <w:tcW w:w="0" w:type="auto"/>
            <w:tcBorders>
              <w:top w:val="nil"/>
              <w:left w:val="nil"/>
              <w:bottom w:val="nil"/>
              <w:right w:val="nil"/>
            </w:tcBorders>
            <w:shd w:val="clear" w:color="auto" w:fill="auto"/>
            <w:noWrap/>
            <w:vAlign w:val="center"/>
            <w:hideMark/>
          </w:tcPr>
          <w:p w14:paraId="674970F3"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-0.139</w:t>
            </w:r>
          </w:p>
        </w:tc>
        <w:tc>
          <w:tcPr>
            <w:tcW w:w="0" w:type="auto"/>
            <w:tcBorders>
              <w:top w:val="nil"/>
              <w:left w:val="nil"/>
              <w:bottom w:val="nil"/>
              <w:right w:val="nil"/>
            </w:tcBorders>
            <w:shd w:val="clear" w:color="auto" w:fill="auto"/>
            <w:noWrap/>
            <w:vAlign w:val="center"/>
            <w:hideMark/>
          </w:tcPr>
          <w:p w14:paraId="077EF698"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-0.117</w:t>
            </w:r>
          </w:p>
        </w:tc>
        <w:tc>
          <w:tcPr>
            <w:tcW w:w="0" w:type="auto"/>
            <w:tcBorders>
              <w:top w:val="nil"/>
              <w:left w:val="nil"/>
              <w:bottom w:val="nil"/>
              <w:right w:val="nil"/>
            </w:tcBorders>
            <w:shd w:val="clear" w:color="auto" w:fill="auto"/>
            <w:noWrap/>
            <w:vAlign w:val="center"/>
            <w:hideMark/>
          </w:tcPr>
          <w:p w14:paraId="2CC6D04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0.188</w:t>
            </w:r>
          </w:p>
        </w:tc>
        <w:tc>
          <w:tcPr>
            <w:tcW w:w="0" w:type="auto"/>
            <w:tcBorders>
              <w:top w:val="nil"/>
              <w:left w:val="nil"/>
              <w:bottom w:val="nil"/>
              <w:right w:val="nil"/>
            </w:tcBorders>
            <w:shd w:val="clear" w:color="auto" w:fill="auto"/>
            <w:noWrap/>
            <w:vAlign w:val="center"/>
            <w:hideMark/>
          </w:tcPr>
          <w:p w14:paraId="623204D2"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-0.134</w:t>
            </w:r>
          </w:p>
        </w:tc>
      </w:tr>
      <w:tr w:rsidR="00204055" w:rsidRPr="00E81CC3" w14:paraId="3B1C3128" w14:textId="77777777" w:rsidTr="00DE3A10">
        <w:trPr>
          <w:trHeight w:val="20"/>
          <w:jc w:val="center"/>
        </w:trPr>
        <w:tc>
          <w:tcPr>
            <w:tcW w:w="0" w:type="auto"/>
            <w:tcBorders>
              <w:top w:val="nil"/>
              <w:left w:val="nil"/>
              <w:bottom w:val="nil"/>
              <w:right w:val="nil"/>
            </w:tcBorders>
            <w:shd w:val="clear" w:color="auto" w:fill="auto"/>
            <w:noWrap/>
            <w:vAlign w:val="center"/>
            <w:hideMark/>
          </w:tcPr>
          <w:p w14:paraId="10AD705F"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Art 6 cited</w:t>
            </w:r>
          </w:p>
        </w:tc>
        <w:tc>
          <w:tcPr>
            <w:tcW w:w="914" w:type="dxa"/>
            <w:tcBorders>
              <w:top w:val="nil"/>
              <w:left w:val="nil"/>
              <w:bottom w:val="nil"/>
              <w:right w:val="nil"/>
            </w:tcBorders>
            <w:shd w:val="clear" w:color="auto" w:fill="auto"/>
            <w:noWrap/>
            <w:vAlign w:val="center"/>
            <w:hideMark/>
          </w:tcPr>
          <w:p w14:paraId="68BC9CB0"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-0.087</w:t>
            </w:r>
          </w:p>
        </w:tc>
        <w:tc>
          <w:tcPr>
            <w:tcW w:w="0" w:type="auto"/>
            <w:tcBorders>
              <w:top w:val="nil"/>
              <w:left w:val="nil"/>
              <w:bottom w:val="nil"/>
              <w:right w:val="nil"/>
            </w:tcBorders>
            <w:shd w:val="clear" w:color="auto" w:fill="auto"/>
            <w:noWrap/>
            <w:vAlign w:val="center"/>
            <w:hideMark/>
          </w:tcPr>
          <w:p w14:paraId="26D40446"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-0.434</w:t>
            </w:r>
          </w:p>
        </w:tc>
        <w:tc>
          <w:tcPr>
            <w:tcW w:w="0" w:type="auto"/>
            <w:tcBorders>
              <w:top w:val="nil"/>
              <w:left w:val="nil"/>
              <w:bottom w:val="nil"/>
              <w:right w:val="nil"/>
            </w:tcBorders>
            <w:shd w:val="clear" w:color="auto" w:fill="auto"/>
            <w:noWrap/>
            <w:vAlign w:val="center"/>
            <w:hideMark/>
          </w:tcPr>
          <w:p w14:paraId="2EB4C055"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0.077</w:t>
            </w:r>
          </w:p>
        </w:tc>
        <w:tc>
          <w:tcPr>
            <w:tcW w:w="0" w:type="auto"/>
            <w:tcBorders>
              <w:top w:val="nil"/>
              <w:left w:val="nil"/>
              <w:bottom w:val="nil"/>
              <w:right w:val="nil"/>
            </w:tcBorders>
            <w:shd w:val="clear" w:color="auto" w:fill="auto"/>
            <w:noWrap/>
            <w:vAlign w:val="center"/>
            <w:hideMark/>
          </w:tcPr>
          <w:p w14:paraId="67433A9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0.053</w:t>
            </w:r>
          </w:p>
        </w:tc>
        <w:tc>
          <w:tcPr>
            <w:tcW w:w="0" w:type="auto"/>
            <w:tcBorders>
              <w:top w:val="nil"/>
              <w:left w:val="nil"/>
              <w:bottom w:val="nil"/>
              <w:right w:val="nil"/>
            </w:tcBorders>
            <w:shd w:val="clear" w:color="auto" w:fill="auto"/>
            <w:noWrap/>
            <w:vAlign w:val="center"/>
            <w:hideMark/>
          </w:tcPr>
          <w:p w14:paraId="192CB304"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-0.36</w:t>
            </w:r>
          </w:p>
        </w:tc>
        <w:tc>
          <w:tcPr>
            <w:tcW w:w="0" w:type="auto"/>
            <w:tcBorders>
              <w:top w:val="nil"/>
              <w:left w:val="nil"/>
              <w:bottom w:val="nil"/>
              <w:right w:val="nil"/>
            </w:tcBorders>
            <w:shd w:val="clear" w:color="auto" w:fill="auto"/>
            <w:noWrap/>
            <w:vAlign w:val="center"/>
            <w:hideMark/>
          </w:tcPr>
          <w:p w14:paraId="62DC5E58"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0.078</w:t>
            </w:r>
          </w:p>
        </w:tc>
      </w:tr>
      <w:tr w:rsidR="00204055" w:rsidRPr="00E81CC3" w14:paraId="499D85D7" w14:textId="77777777" w:rsidTr="00DE3A10">
        <w:trPr>
          <w:trHeight w:val="20"/>
          <w:jc w:val="center"/>
        </w:trPr>
        <w:tc>
          <w:tcPr>
            <w:tcW w:w="0" w:type="auto"/>
            <w:tcBorders>
              <w:top w:val="nil"/>
              <w:left w:val="nil"/>
              <w:bottom w:val="nil"/>
              <w:right w:val="nil"/>
            </w:tcBorders>
            <w:shd w:val="clear" w:color="auto" w:fill="auto"/>
            <w:noWrap/>
            <w:vAlign w:val="center"/>
            <w:hideMark/>
          </w:tcPr>
          <w:p w14:paraId="4396A78B"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Art 7 cited</w:t>
            </w:r>
          </w:p>
        </w:tc>
        <w:tc>
          <w:tcPr>
            <w:tcW w:w="914" w:type="dxa"/>
            <w:tcBorders>
              <w:top w:val="nil"/>
              <w:left w:val="nil"/>
              <w:bottom w:val="nil"/>
              <w:right w:val="nil"/>
            </w:tcBorders>
            <w:shd w:val="clear" w:color="auto" w:fill="auto"/>
            <w:noWrap/>
            <w:vAlign w:val="center"/>
            <w:hideMark/>
          </w:tcPr>
          <w:p w14:paraId="05A65B70"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0.04</w:t>
            </w:r>
          </w:p>
        </w:tc>
        <w:tc>
          <w:tcPr>
            <w:tcW w:w="0" w:type="auto"/>
            <w:tcBorders>
              <w:top w:val="nil"/>
              <w:left w:val="nil"/>
              <w:bottom w:val="nil"/>
              <w:right w:val="nil"/>
            </w:tcBorders>
            <w:shd w:val="clear" w:color="auto" w:fill="auto"/>
            <w:noWrap/>
            <w:vAlign w:val="center"/>
            <w:hideMark/>
          </w:tcPr>
          <w:p w14:paraId="5A0E864B"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0.131</w:t>
            </w:r>
          </w:p>
        </w:tc>
        <w:tc>
          <w:tcPr>
            <w:tcW w:w="0" w:type="auto"/>
            <w:tcBorders>
              <w:top w:val="nil"/>
              <w:left w:val="nil"/>
              <w:bottom w:val="nil"/>
              <w:right w:val="nil"/>
            </w:tcBorders>
            <w:shd w:val="clear" w:color="auto" w:fill="auto"/>
            <w:noWrap/>
            <w:vAlign w:val="center"/>
            <w:hideMark/>
          </w:tcPr>
          <w:p w14:paraId="7A42C455"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-0.038</w:t>
            </w:r>
          </w:p>
        </w:tc>
        <w:tc>
          <w:tcPr>
            <w:tcW w:w="0" w:type="auto"/>
            <w:tcBorders>
              <w:top w:val="nil"/>
              <w:left w:val="nil"/>
              <w:bottom w:val="nil"/>
              <w:right w:val="nil"/>
            </w:tcBorders>
            <w:shd w:val="clear" w:color="auto" w:fill="auto"/>
            <w:noWrap/>
            <w:vAlign w:val="center"/>
            <w:hideMark/>
          </w:tcPr>
          <w:p w14:paraId="6E72EFF4"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-0.026</w:t>
            </w:r>
          </w:p>
        </w:tc>
        <w:tc>
          <w:tcPr>
            <w:tcW w:w="0" w:type="auto"/>
            <w:tcBorders>
              <w:top w:val="nil"/>
              <w:left w:val="nil"/>
              <w:bottom w:val="nil"/>
              <w:right w:val="nil"/>
            </w:tcBorders>
            <w:shd w:val="clear" w:color="auto" w:fill="auto"/>
            <w:noWrap/>
            <w:vAlign w:val="center"/>
            <w:hideMark/>
          </w:tcPr>
          <w:p w14:paraId="4A6C663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0.12</w:t>
            </w:r>
          </w:p>
        </w:tc>
        <w:tc>
          <w:tcPr>
            <w:tcW w:w="0" w:type="auto"/>
            <w:tcBorders>
              <w:top w:val="nil"/>
              <w:left w:val="nil"/>
              <w:bottom w:val="nil"/>
              <w:right w:val="nil"/>
            </w:tcBorders>
            <w:shd w:val="clear" w:color="auto" w:fill="auto"/>
            <w:noWrap/>
            <w:vAlign w:val="center"/>
            <w:hideMark/>
          </w:tcPr>
          <w:p w14:paraId="3B9B2314"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-0.038</w:t>
            </w:r>
          </w:p>
        </w:tc>
      </w:tr>
      <w:tr w:rsidR="00204055" w:rsidRPr="00E81CC3" w14:paraId="07060A7A" w14:textId="77777777" w:rsidTr="00DE3A10">
        <w:trPr>
          <w:trHeight w:val="20"/>
          <w:jc w:val="center"/>
        </w:trPr>
        <w:tc>
          <w:tcPr>
            <w:tcW w:w="0" w:type="auto"/>
            <w:tcBorders>
              <w:top w:val="nil"/>
              <w:left w:val="nil"/>
              <w:bottom w:val="nil"/>
              <w:right w:val="nil"/>
            </w:tcBorders>
            <w:shd w:val="clear" w:color="auto" w:fill="auto"/>
            <w:noWrap/>
            <w:vAlign w:val="center"/>
            <w:hideMark/>
          </w:tcPr>
          <w:p w14:paraId="3B245F33"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914" w:type="dxa"/>
            <w:tcBorders>
              <w:top w:val="nil"/>
              <w:left w:val="nil"/>
              <w:bottom w:val="nil"/>
              <w:right w:val="nil"/>
            </w:tcBorders>
            <w:shd w:val="clear" w:color="auto" w:fill="auto"/>
            <w:noWrap/>
            <w:vAlign w:val="center"/>
            <w:hideMark/>
          </w:tcPr>
          <w:p w14:paraId="7D64F60C" w14:textId="77777777" w:rsidR="00204055" w:rsidRPr="00E81CC3" w:rsidRDefault="00204055" w:rsidP="000D1E0B">
            <w:pPr>
              <w:spacing w:after="0" w:line="240" w:lineRule="auto"/>
              <w:ind w:firstLineChars="200" w:firstLine="280"/>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2540385A"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2BBE9044"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48B143B0"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537E9F9D"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3BBE1A5C"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47D868AD" w14:textId="77777777" w:rsidTr="00DE3A10">
        <w:trPr>
          <w:trHeight w:val="20"/>
          <w:jc w:val="center"/>
        </w:trPr>
        <w:tc>
          <w:tcPr>
            <w:tcW w:w="0" w:type="auto"/>
            <w:tcBorders>
              <w:top w:val="nil"/>
              <w:left w:val="nil"/>
              <w:bottom w:val="nil"/>
              <w:right w:val="nil"/>
            </w:tcBorders>
            <w:shd w:val="clear" w:color="auto" w:fill="auto"/>
            <w:noWrap/>
            <w:vAlign w:val="center"/>
            <w:hideMark/>
          </w:tcPr>
          <w:p w14:paraId="0DCC8FA3"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r w:rsidRPr="00E81CC3">
              <w:rPr>
                <w:rFonts w:ascii="Garamond" w:eastAsia="Times New Roman" w:hAnsi="Garamond" w:cs="Times New Roman"/>
                <w:i/>
                <w:iCs/>
                <w:color w:val="000000"/>
                <w:sz w:val="14"/>
                <w:szCs w:val="16"/>
              </w:rPr>
              <w:t>Source of case</w:t>
            </w:r>
          </w:p>
        </w:tc>
        <w:tc>
          <w:tcPr>
            <w:tcW w:w="914" w:type="dxa"/>
            <w:tcBorders>
              <w:top w:val="nil"/>
              <w:left w:val="nil"/>
              <w:bottom w:val="nil"/>
              <w:right w:val="nil"/>
            </w:tcBorders>
            <w:shd w:val="clear" w:color="auto" w:fill="auto"/>
            <w:noWrap/>
            <w:vAlign w:val="center"/>
            <w:hideMark/>
          </w:tcPr>
          <w:p w14:paraId="7BAF2538"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p>
        </w:tc>
        <w:tc>
          <w:tcPr>
            <w:tcW w:w="0" w:type="auto"/>
            <w:tcBorders>
              <w:top w:val="nil"/>
              <w:left w:val="nil"/>
              <w:bottom w:val="nil"/>
              <w:right w:val="nil"/>
            </w:tcBorders>
            <w:shd w:val="clear" w:color="auto" w:fill="auto"/>
            <w:noWrap/>
            <w:vAlign w:val="center"/>
            <w:hideMark/>
          </w:tcPr>
          <w:p w14:paraId="0933E0B7"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26407A43"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129F3582"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00D4758D"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71AE53F9"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4370A098" w14:textId="77777777" w:rsidTr="00DE3A10">
        <w:trPr>
          <w:trHeight w:val="20"/>
          <w:jc w:val="center"/>
        </w:trPr>
        <w:tc>
          <w:tcPr>
            <w:tcW w:w="0" w:type="auto"/>
            <w:tcBorders>
              <w:top w:val="nil"/>
              <w:left w:val="nil"/>
              <w:bottom w:val="nil"/>
              <w:right w:val="nil"/>
            </w:tcBorders>
            <w:shd w:val="clear" w:color="auto" w:fill="auto"/>
            <w:noWrap/>
            <w:vAlign w:val="center"/>
            <w:hideMark/>
          </w:tcPr>
          <w:p w14:paraId="5434858B"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case came from federal court</w:t>
            </w:r>
          </w:p>
        </w:tc>
        <w:tc>
          <w:tcPr>
            <w:tcW w:w="914" w:type="dxa"/>
            <w:tcBorders>
              <w:top w:val="nil"/>
              <w:left w:val="nil"/>
              <w:bottom w:val="nil"/>
              <w:right w:val="nil"/>
            </w:tcBorders>
            <w:shd w:val="clear" w:color="auto" w:fill="auto"/>
            <w:noWrap/>
            <w:vAlign w:val="center"/>
            <w:hideMark/>
          </w:tcPr>
          <w:p w14:paraId="7DF41762"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-0.021</w:t>
            </w:r>
          </w:p>
        </w:tc>
        <w:tc>
          <w:tcPr>
            <w:tcW w:w="0" w:type="auto"/>
            <w:tcBorders>
              <w:top w:val="nil"/>
              <w:left w:val="nil"/>
              <w:bottom w:val="nil"/>
              <w:right w:val="nil"/>
            </w:tcBorders>
            <w:shd w:val="clear" w:color="auto" w:fill="auto"/>
            <w:noWrap/>
            <w:vAlign w:val="center"/>
            <w:hideMark/>
          </w:tcPr>
          <w:p w14:paraId="18320E67"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0.011</w:t>
            </w:r>
          </w:p>
        </w:tc>
        <w:tc>
          <w:tcPr>
            <w:tcW w:w="0" w:type="auto"/>
            <w:tcBorders>
              <w:top w:val="nil"/>
              <w:left w:val="nil"/>
              <w:bottom w:val="nil"/>
              <w:right w:val="nil"/>
            </w:tcBorders>
            <w:shd w:val="clear" w:color="auto" w:fill="auto"/>
            <w:noWrap/>
            <w:vAlign w:val="center"/>
            <w:hideMark/>
          </w:tcPr>
          <w:p w14:paraId="535F4C60"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w:t>
            </w:r>
          </w:p>
        </w:tc>
        <w:tc>
          <w:tcPr>
            <w:tcW w:w="0" w:type="auto"/>
            <w:tcBorders>
              <w:top w:val="nil"/>
              <w:left w:val="nil"/>
              <w:bottom w:val="nil"/>
              <w:right w:val="nil"/>
            </w:tcBorders>
            <w:shd w:val="clear" w:color="auto" w:fill="auto"/>
            <w:noWrap/>
            <w:vAlign w:val="center"/>
            <w:hideMark/>
          </w:tcPr>
          <w:p w14:paraId="0A01D93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0.037</w:t>
            </w:r>
          </w:p>
        </w:tc>
        <w:tc>
          <w:tcPr>
            <w:tcW w:w="0" w:type="auto"/>
            <w:tcBorders>
              <w:top w:val="nil"/>
              <w:left w:val="nil"/>
              <w:bottom w:val="nil"/>
              <w:right w:val="nil"/>
            </w:tcBorders>
            <w:shd w:val="clear" w:color="auto" w:fill="auto"/>
            <w:noWrap/>
            <w:vAlign w:val="center"/>
            <w:hideMark/>
          </w:tcPr>
          <w:p w14:paraId="03F7D540"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0.041</w:t>
            </w:r>
          </w:p>
        </w:tc>
        <w:tc>
          <w:tcPr>
            <w:tcW w:w="0" w:type="auto"/>
            <w:tcBorders>
              <w:top w:val="nil"/>
              <w:left w:val="nil"/>
              <w:bottom w:val="nil"/>
              <w:right w:val="nil"/>
            </w:tcBorders>
            <w:shd w:val="clear" w:color="auto" w:fill="auto"/>
            <w:noWrap/>
            <w:vAlign w:val="center"/>
            <w:hideMark/>
          </w:tcPr>
          <w:p w14:paraId="55BCB4CB"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0.029</w:t>
            </w:r>
          </w:p>
        </w:tc>
      </w:tr>
      <w:tr w:rsidR="00204055" w:rsidRPr="00E81CC3" w14:paraId="0C2BDDFD" w14:textId="77777777" w:rsidTr="00DE3A10">
        <w:trPr>
          <w:trHeight w:val="20"/>
          <w:jc w:val="center"/>
        </w:trPr>
        <w:tc>
          <w:tcPr>
            <w:tcW w:w="0" w:type="auto"/>
            <w:tcBorders>
              <w:top w:val="nil"/>
              <w:left w:val="nil"/>
              <w:bottom w:val="nil"/>
              <w:right w:val="nil"/>
            </w:tcBorders>
            <w:shd w:val="clear" w:color="auto" w:fill="auto"/>
            <w:noWrap/>
            <w:vAlign w:val="center"/>
            <w:hideMark/>
          </w:tcPr>
          <w:p w14:paraId="52CDC0AF"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case came from provincial court</w:t>
            </w:r>
          </w:p>
        </w:tc>
        <w:tc>
          <w:tcPr>
            <w:tcW w:w="914" w:type="dxa"/>
            <w:tcBorders>
              <w:top w:val="nil"/>
              <w:left w:val="nil"/>
              <w:bottom w:val="nil"/>
              <w:right w:val="nil"/>
            </w:tcBorders>
            <w:shd w:val="clear" w:color="auto" w:fill="auto"/>
            <w:noWrap/>
            <w:vAlign w:val="center"/>
            <w:hideMark/>
          </w:tcPr>
          <w:p w14:paraId="3A65CEC5"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-0.044</w:t>
            </w:r>
          </w:p>
        </w:tc>
        <w:tc>
          <w:tcPr>
            <w:tcW w:w="0" w:type="auto"/>
            <w:tcBorders>
              <w:top w:val="nil"/>
              <w:left w:val="nil"/>
              <w:bottom w:val="nil"/>
              <w:right w:val="nil"/>
            </w:tcBorders>
            <w:shd w:val="clear" w:color="auto" w:fill="auto"/>
            <w:noWrap/>
            <w:vAlign w:val="center"/>
            <w:hideMark/>
          </w:tcPr>
          <w:p w14:paraId="6EBA2332"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-0.07</w:t>
            </w:r>
          </w:p>
        </w:tc>
        <w:tc>
          <w:tcPr>
            <w:tcW w:w="0" w:type="auto"/>
            <w:tcBorders>
              <w:top w:val="nil"/>
              <w:left w:val="nil"/>
              <w:bottom w:val="nil"/>
              <w:right w:val="nil"/>
            </w:tcBorders>
            <w:shd w:val="clear" w:color="auto" w:fill="auto"/>
            <w:noWrap/>
            <w:vAlign w:val="center"/>
            <w:hideMark/>
          </w:tcPr>
          <w:p w14:paraId="75E527E0"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0.045</w:t>
            </w:r>
          </w:p>
        </w:tc>
        <w:tc>
          <w:tcPr>
            <w:tcW w:w="0" w:type="auto"/>
            <w:tcBorders>
              <w:top w:val="nil"/>
              <w:left w:val="nil"/>
              <w:bottom w:val="nil"/>
              <w:right w:val="nil"/>
            </w:tcBorders>
            <w:shd w:val="clear" w:color="auto" w:fill="auto"/>
            <w:noWrap/>
            <w:vAlign w:val="center"/>
            <w:hideMark/>
          </w:tcPr>
          <w:p w14:paraId="7337C02C"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0.057*</w:t>
            </w:r>
          </w:p>
        </w:tc>
        <w:tc>
          <w:tcPr>
            <w:tcW w:w="0" w:type="auto"/>
            <w:tcBorders>
              <w:top w:val="nil"/>
              <w:left w:val="nil"/>
              <w:bottom w:val="nil"/>
              <w:right w:val="nil"/>
            </w:tcBorders>
            <w:shd w:val="clear" w:color="auto" w:fill="auto"/>
            <w:noWrap/>
            <w:vAlign w:val="center"/>
            <w:hideMark/>
          </w:tcPr>
          <w:p w14:paraId="3CD4454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0.047</w:t>
            </w:r>
          </w:p>
        </w:tc>
        <w:tc>
          <w:tcPr>
            <w:tcW w:w="0" w:type="auto"/>
            <w:tcBorders>
              <w:top w:val="nil"/>
              <w:left w:val="nil"/>
              <w:bottom w:val="nil"/>
              <w:right w:val="nil"/>
            </w:tcBorders>
            <w:shd w:val="clear" w:color="auto" w:fill="auto"/>
            <w:noWrap/>
            <w:vAlign w:val="center"/>
            <w:hideMark/>
          </w:tcPr>
          <w:p w14:paraId="36739BC6"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0.045</w:t>
            </w:r>
          </w:p>
        </w:tc>
      </w:tr>
      <w:tr w:rsidR="00204055" w:rsidRPr="00E81CC3" w14:paraId="01567EBA" w14:textId="77777777" w:rsidTr="00DE3A10">
        <w:trPr>
          <w:trHeight w:val="20"/>
          <w:jc w:val="center"/>
        </w:trPr>
        <w:tc>
          <w:tcPr>
            <w:tcW w:w="0" w:type="auto"/>
            <w:tcBorders>
              <w:top w:val="nil"/>
              <w:left w:val="nil"/>
              <w:bottom w:val="nil"/>
              <w:right w:val="nil"/>
            </w:tcBorders>
            <w:shd w:val="clear" w:color="auto" w:fill="auto"/>
            <w:noWrap/>
            <w:vAlign w:val="center"/>
            <w:hideMark/>
          </w:tcPr>
          <w:p w14:paraId="09EFEB56"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914" w:type="dxa"/>
            <w:tcBorders>
              <w:top w:val="nil"/>
              <w:left w:val="nil"/>
              <w:bottom w:val="nil"/>
              <w:right w:val="nil"/>
            </w:tcBorders>
            <w:shd w:val="clear" w:color="auto" w:fill="auto"/>
            <w:noWrap/>
            <w:vAlign w:val="center"/>
            <w:hideMark/>
          </w:tcPr>
          <w:p w14:paraId="5423ED1A" w14:textId="77777777" w:rsidR="00204055" w:rsidRPr="00E81CC3" w:rsidRDefault="00204055" w:rsidP="000D1E0B">
            <w:pPr>
              <w:spacing w:after="0" w:line="240" w:lineRule="auto"/>
              <w:ind w:firstLineChars="200" w:firstLine="280"/>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014BD464"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551FC0EA"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3E38C0E1"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224C3DF3"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61F14E52"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529DA76E" w14:textId="77777777" w:rsidTr="00DE3A10">
        <w:trPr>
          <w:trHeight w:val="20"/>
          <w:jc w:val="center"/>
        </w:trPr>
        <w:tc>
          <w:tcPr>
            <w:tcW w:w="0" w:type="auto"/>
            <w:tcBorders>
              <w:top w:val="nil"/>
              <w:left w:val="nil"/>
              <w:bottom w:val="nil"/>
              <w:right w:val="nil"/>
            </w:tcBorders>
            <w:shd w:val="clear" w:color="auto" w:fill="auto"/>
            <w:noWrap/>
            <w:vAlign w:val="center"/>
            <w:hideMark/>
          </w:tcPr>
          <w:p w14:paraId="6E485E5D"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r w:rsidRPr="00E81CC3">
              <w:rPr>
                <w:rFonts w:ascii="Garamond" w:eastAsia="Times New Roman" w:hAnsi="Garamond" w:cs="Times New Roman"/>
                <w:i/>
                <w:iCs/>
                <w:color w:val="000000"/>
                <w:sz w:val="14"/>
                <w:szCs w:val="16"/>
              </w:rPr>
              <w:t>Appellant type and gender</w:t>
            </w:r>
          </w:p>
        </w:tc>
        <w:tc>
          <w:tcPr>
            <w:tcW w:w="914" w:type="dxa"/>
            <w:tcBorders>
              <w:top w:val="nil"/>
              <w:left w:val="nil"/>
              <w:bottom w:val="nil"/>
              <w:right w:val="nil"/>
            </w:tcBorders>
            <w:shd w:val="clear" w:color="auto" w:fill="auto"/>
            <w:noWrap/>
            <w:vAlign w:val="center"/>
            <w:hideMark/>
          </w:tcPr>
          <w:p w14:paraId="695909D9"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p>
        </w:tc>
        <w:tc>
          <w:tcPr>
            <w:tcW w:w="0" w:type="auto"/>
            <w:tcBorders>
              <w:top w:val="nil"/>
              <w:left w:val="nil"/>
              <w:bottom w:val="nil"/>
              <w:right w:val="nil"/>
            </w:tcBorders>
            <w:shd w:val="clear" w:color="auto" w:fill="auto"/>
            <w:noWrap/>
            <w:vAlign w:val="center"/>
            <w:hideMark/>
          </w:tcPr>
          <w:p w14:paraId="17DBBD26"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63F4232F"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27F6ADBF"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3D7452E7"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329D2B94"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12EA9D93" w14:textId="77777777" w:rsidTr="00DE3A10">
        <w:trPr>
          <w:trHeight w:val="20"/>
          <w:jc w:val="center"/>
        </w:trPr>
        <w:tc>
          <w:tcPr>
            <w:tcW w:w="0" w:type="auto"/>
            <w:tcBorders>
              <w:top w:val="nil"/>
              <w:left w:val="nil"/>
              <w:bottom w:val="nil"/>
              <w:right w:val="nil"/>
            </w:tcBorders>
            <w:shd w:val="clear" w:color="auto" w:fill="auto"/>
            <w:noWrap/>
            <w:vAlign w:val="center"/>
            <w:hideMark/>
          </w:tcPr>
          <w:p w14:paraId="052CF890"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all appellants are individuals</w:t>
            </w:r>
          </w:p>
        </w:tc>
        <w:tc>
          <w:tcPr>
            <w:tcW w:w="914" w:type="dxa"/>
            <w:tcBorders>
              <w:top w:val="nil"/>
              <w:left w:val="nil"/>
              <w:bottom w:val="nil"/>
              <w:right w:val="nil"/>
            </w:tcBorders>
            <w:shd w:val="clear" w:color="auto" w:fill="auto"/>
            <w:noWrap/>
            <w:vAlign w:val="center"/>
            <w:hideMark/>
          </w:tcPr>
          <w:p w14:paraId="2948585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-0.023</w:t>
            </w:r>
          </w:p>
        </w:tc>
        <w:tc>
          <w:tcPr>
            <w:tcW w:w="0" w:type="auto"/>
            <w:tcBorders>
              <w:top w:val="nil"/>
              <w:left w:val="nil"/>
              <w:bottom w:val="nil"/>
              <w:right w:val="nil"/>
            </w:tcBorders>
            <w:shd w:val="clear" w:color="auto" w:fill="auto"/>
            <w:noWrap/>
            <w:vAlign w:val="center"/>
            <w:hideMark/>
          </w:tcPr>
          <w:p w14:paraId="577306DB"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-0.102</w:t>
            </w:r>
          </w:p>
        </w:tc>
        <w:tc>
          <w:tcPr>
            <w:tcW w:w="0" w:type="auto"/>
            <w:tcBorders>
              <w:top w:val="nil"/>
              <w:left w:val="nil"/>
              <w:bottom w:val="nil"/>
              <w:right w:val="nil"/>
            </w:tcBorders>
            <w:shd w:val="clear" w:color="auto" w:fill="auto"/>
            <w:noWrap/>
            <w:vAlign w:val="center"/>
            <w:hideMark/>
          </w:tcPr>
          <w:p w14:paraId="72DAF14C"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0.021</w:t>
            </w:r>
          </w:p>
        </w:tc>
        <w:tc>
          <w:tcPr>
            <w:tcW w:w="0" w:type="auto"/>
            <w:tcBorders>
              <w:top w:val="nil"/>
              <w:left w:val="nil"/>
              <w:bottom w:val="nil"/>
              <w:right w:val="nil"/>
            </w:tcBorders>
            <w:shd w:val="clear" w:color="auto" w:fill="auto"/>
            <w:noWrap/>
            <w:vAlign w:val="center"/>
            <w:hideMark/>
          </w:tcPr>
          <w:p w14:paraId="5467E678"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0.018</w:t>
            </w:r>
          </w:p>
        </w:tc>
        <w:tc>
          <w:tcPr>
            <w:tcW w:w="0" w:type="auto"/>
            <w:tcBorders>
              <w:top w:val="nil"/>
              <w:left w:val="nil"/>
              <w:bottom w:val="nil"/>
              <w:right w:val="nil"/>
            </w:tcBorders>
            <w:shd w:val="clear" w:color="auto" w:fill="auto"/>
            <w:noWrap/>
            <w:vAlign w:val="center"/>
            <w:hideMark/>
          </w:tcPr>
          <w:p w14:paraId="31017F28"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-0.154*</w:t>
            </w:r>
          </w:p>
        </w:tc>
        <w:tc>
          <w:tcPr>
            <w:tcW w:w="0" w:type="auto"/>
            <w:tcBorders>
              <w:top w:val="nil"/>
              <w:left w:val="nil"/>
              <w:bottom w:val="nil"/>
              <w:right w:val="nil"/>
            </w:tcBorders>
            <w:shd w:val="clear" w:color="auto" w:fill="auto"/>
            <w:noWrap/>
            <w:vAlign w:val="center"/>
            <w:hideMark/>
          </w:tcPr>
          <w:p w14:paraId="2177FB26"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0.022</w:t>
            </w:r>
          </w:p>
        </w:tc>
      </w:tr>
      <w:tr w:rsidR="00204055" w:rsidRPr="00E81CC3" w14:paraId="52B614A3" w14:textId="77777777" w:rsidTr="00DE3A10">
        <w:trPr>
          <w:trHeight w:val="20"/>
          <w:jc w:val="center"/>
        </w:trPr>
        <w:tc>
          <w:tcPr>
            <w:tcW w:w="0" w:type="auto"/>
            <w:tcBorders>
              <w:top w:val="nil"/>
              <w:left w:val="nil"/>
              <w:bottom w:val="nil"/>
              <w:right w:val="nil"/>
            </w:tcBorders>
            <w:shd w:val="clear" w:color="auto" w:fill="auto"/>
            <w:noWrap/>
            <w:vAlign w:val="center"/>
            <w:hideMark/>
          </w:tcPr>
          <w:p w14:paraId="4DABCFCB"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all appellants are female</w:t>
            </w:r>
          </w:p>
        </w:tc>
        <w:tc>
          <w:tcPr>
            <w:tcW w:w="914" w:type="dxa"/>
            <w:tcBorders>
              <w:top w:val="nil"/>
              <w:left w:val="nil"/>
              <w:bottom w:val="nil"/>
              <w:right w:val="nil"/>
            </w:tcBorders>
            <w:shd w:val="clear" w:color="auto" w:fill="auto"/>
            <w:noWrap/>
            <w:vAlign w:val="center"/>
            <w:hideMark/>
          </w:tcPr>
          <w:p w14:paraId="534F6BD9"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-0.028</w:t>
            </w:r>
          </w:p>
        </w:tc>
        <w:tc>
          <w:tcPr>
            <w:tcW w:w="0" w:type="auto"/>
            <w:tcBorders>
              <w:top w:val="nil"/>
              <w:left w:val="nil"/>
              <w:bottom w:val="nil"/>
              <w:right w:val="nil"/>
            </w:tcBorders>
            <w:shd w:val="clear" w:color="auto" w:fill="auto"/>
            <w:noWrap/>
            <w:vAlign w:val="center"/>
            <w:hideMark/>
          </w:tcPr>
          <w:p w14:paraId="28E93A27"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-0.065</w:t>
            </w:r>
          </w:p>
        </w:tc>
        <w:tc>
          <w:tcPr>
            <w:tcW w:w="0" w:type="auto"/>
            <w:tcBorders>
              <w:top w:val="nil"/>
              <w:left w:val="nil"/>
              <w:bottom w:val="nil"/>
              <w:right w:val="nil"/>
            </w:tcBorders>
            <w:shd w:val="clear" w:color="auto" w:fill="auto"/>
            <w:noWrap/>
            <w:vAlign w:val="center"/>
            <w:hideMark/>
          </w:tcPr>
          <w:p w14:paraId="1668A73D"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w:t>
            </w:r>
          </w:p>
        </w:tc>
        <w:tc>
          <w:tcPr>
            <w:tcW w:w="0" w:type="auto"/>
            <w:tcBorders>
              <w:top w:val="nil"/>
              <w:left w:val="nil"/>
              <w:bottom w:val="nil"/>
              <w:right w:val="nil"/>
            </w:tcBorders>
            <w:shd w:val="clear" w:color="auto" w:fill="auto"/>
            <w:noWrap/>
            <w:vAlign w:val="center"/>
            <w:hideMark/>
          </w:tcPr>
          <w:p w14:paraId="47E4840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0.016</w:t>
            </w:r>
          </w:p>
        </w:tc>
        <w:tc>
          <w:tcPr>
            <w:tcW w:w="0" w:type="auto"/>
            <w:tcBorders>
              <w:top w:val="nil"/>
              <w:left w:val="nil"/>
              <w:bottom w:val="nil"/>
              <w:right w:val="nil"/>
            </w:tcBorders>
            <w:shd w:val="clear" w:color="auto" w:fill="auto"/>
            <w:noWrap/>
            <w:vAlign w:val="center"/>
            <w:hideMark/>
          </w:tcPr>
          <w:p w14:paraId="24AB166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-0.026</w:t>
            </w:r>
          </w:p>
        </w:tc>
        <w:tc>
          <w:tcPr>
            <w:tcW w:w="0" w:type="auto"/>
            <w:tcBorders>
              <w:top w:val="nil"/>
              <w:left w:val="nil"/>
              <w:bottom w:val="nil"/>
              <w:right w:val="nil"/>
            </w:tcBorders>
            <w:shd w:val="clear" w:color="auto" w:fill="auto"/>
            <w:noWrap/>
            <w:vAlign w:val="center"/>
            <w:hideMark/>
          </w:tcPr>
          <w:p w14:paraId="528851C7"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w:t>
            </w:r>
          </w:p>
        </w:tc>
      </w:tr>
      <w:tr w:rsidR="00204055" w:rsidRPr="00E81CC3" w14:paraId="3CD166F1" w14:textId="77777777" w:rsidTr="00DE3A10">
        <w:trPr>
          <w:trHeight w:val="20"/>
          <w:jc w:val="center"/>
        </w:trPr>
        <w:tc>
          <w:tcPr>
            <w:tcW w:w="0" w:type="auto"/>
            <w:tcBorders>
              <w:top w:val="nil"/>
              <w:left w:val="nil"/>
              <w:bottom w:val="nil"/>
              <w:right w:val="nil"/>
            </w:tcBorders>
            <w:shd w:val="clear" w:color="auto" w:fill="auto"/>
            <w:noWrap/>
            <w:vAlign w:val="center"/>
            <w:hideMark/>
          </w:tcPr>
          <w:p w14:paraId="2E4286C9"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914" w:type="dxa"/>
            <w:tcBorders>
              <w:top w:val="nil"/>
              <w:left w:val="nil"/>
              <w:bottom w:val="nil"/>
              <w:right w:val="nil"/>
            </w:tcBorders>
            <w:shd w:val="clear" w:color="auto" w:fill="auto"/>
            <w:noWrap/>
            <w:vAlign w:val="center"/>
            <w:hideMark/>
          </w:tcPr>
          <w:p w14:paraId="49399121" w14:textId="77777777" w:rsidR="00204055" w:rsidRPr="00E81CC3" w:rsidRDefault="00204055" w:rsidP="000D1E0B">
            <w:pPr>
              <w:spacing w:after="0" w:line="240" w:lineRule="auto"/>
              <w:ind w:firstLineChars="200" w:firstLine="280"/>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40817D19"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42A90751"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698A8318"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01D4134D"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3FF533CF"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352EC1DE" w14:textId="77777777" w:rsidTr="00DE3A10">
        <w:trPr>
          <w:trHeight w:val="20"/>
          <w:jc w:val="center"/>
        </w:trPr>
        <w:tc>
          <w:tcPr>
            <w:tcW w:w="0" w:type="auto"/>
            <w:tcBorders>
              <w:top w:val="nil"/>
              <w:left w:val="nil"/>
              <w:bottom w:val="nil"/>
              <w:right w:val="nil"/>
            </w:tcBorders>
            <w:shd w:val="clear" w:color="auto" w:fill="auto"/>
            <w:noWrap/>
            <w:vAlign w:val="center"/>
            <w:hideMark/>
          </w:tcPr>
          <w:p w14:paraId="4866F4C1"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r w:rsidRPr="00E81CC3">
              <w:rPr>
                <w:rFonts w:ascii="Garamond" w:eastAsia="Times New Roman" w:hAnsi="Garamond" w:cs="Times New Roman"/>
                <w:i/>
                <w:iCs/>
                <w:color w:val="000000"/>
                <w:sz w:val="14"/>
                <w:szCs w:val="16"/>
              </w:rPr>
              <w:t xml:space="preserve">Extraordinary Appeal </w:t>
            </w:r>
          </w:p>
        </w:tc>
        <w:tc>
          <w:tcPr>
            <w:tcW w:w="914" w:type="dxa"/>
            <w:tcBorders>
              <w:top w:val="nil"/>
              <w:left w:val="nil"/>
              <w:bottom w:val="nil"/>
              <w:right w:val="nil"/>
            </w:tcBorders>
            <w:shd w:val="clear" w:color="auto" w:fill="auto"/>
            <w:noWrap/>
            <w:vAlign w:val="center"/>
            <w:hideMark/>
          </w:tcPr>
          <w:p w14:paraId="30C87BB6"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p>
        </w:tc>
        <w:tc>
          <w:tcPr>
            <w:tcW w:w="0" w:type="auto"/>
            <w:tcBorders>
              <w:top w:val="nil"/>
              <w:left w:val="nil"/>
              <w:bottom w:val="nil"/>
              <w:right w:val="nil"/>
            </w:tcBorders>
            <w:shd w:val="clear" w:color="auto" w:fill="auto"/>
            <w:noWrap/>
            <w:vAlign w:val="center"/>
            <w:hideMark/>
          </w:tcPr>
          <w:p w14:paraId="163EC8AA"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01A4E98B"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2EA02D6C"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51FB5D5A"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33393839"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11F53432" w14:textId="77777777" w:rsidTr="00DE3A10">
        <w:trPr>
          <w:trHeight w:val="20"/>
          <w:jc w:val="center"/>
        </w:trPr>
        <w:tc>
          <w:tcPr>
            <w:tcW w:w="0" w:type="auto"/>
            <w:tcBorders>
              <w:top w:val="nil"/>
              <w:left w:val="nil"/>
              <w:bottom w:val="nil"/>
              <w:right w:val="nil"/>
            </w:tcBorders>
            <w:shd w:val="clear" w:color="auto" w:fill="auto"/>
            <w:noWrap/>
            <w:vAlign w:val="center"/>
            <w:hideMark/>
          </w:tcPr>
          <w:p w14:paraId="5DD02F59"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lang w:val="es-CO"/>
              </w:rPr>
            </w:pPr>
            <w:r w:rsidRPr="00E81CC3">
              <w:rPr>
                <w:rFonts w:ascii="Garamond" w:eastAsia="Times New Roman" w:hAnsi="Garamond" w:cs="Times New Roman"/>
                <w:color w:val="000000"/>
                <w:sz w:val="14"/>
                <w:szCs w:val="16"/>
                <w:lang w:val="es-CO"/>
              </w:rPr>
              <w:t>=1 if Recurso Extraordinario Federal (REX)</w:t>
            </w:r>
          </w:p>
        </w:tc>
        <w:tc>
          <w:tcPr>
            <w:tcW w:w="914" w:type="dxa"/>
            <w:tcBorders>
              <w:top w:val="nil"/>
              <w:left w:val="nil"/>
              <w:bottom w:val="nil"/>
              <w:right w:val="nil"/>
            </w:tcBorders>
            <w:shd w:val="clear" w:color="auto" w:fill="auto"/>
            <w:noWrap/>
            <w:vAlign w:val="center"/>
            <w:hideMark/>
          </w:tcPr>
          <w:p w14:paraId="16B55109"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-0.038</w:t>
            </w:r>
          </w:p>
        </w:tc>
        <w:tc>
          <w:tcPr>
            <w:tcW w:w="0" w:type="auto"/>
            <w:tcBorders>
              <w:top w:val="nil"/>
              <w:left w:val="nil"/>
              <w:bottom w:val="nil"/>
              <w:right w:val="nil"/>
            </w:tcBorders>
            <w:shd w:val="clear" w:color="auto" w:fill="auto"/>
            <w:noWrap/>
            <w:vAlign w:val="center"/>
            <w:hideMark/>
          </w:tcPr>
          <w:p w14:paraId="44F288BB"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-0.105</w:t>
            </w:r>
          </w:p>
        </w:tc>
        <w:tc>
          <w:tcPr>
            <w:tcW w:w="0" w:type="auto"/>
            <w:tcBorders>
              <w:top w:val="nil"/>
              <w:left w:val="nil"/>
              <w:bottom w:val="nil"/>
              <w:right w:val="nil"/>
            </w:tcBorders>
            <w:shd w:val="clear" w:color="auto" w:fill="auto"/>
            <w:noWrap/>
            <w:vAlign w:val="center"/>
            <w:hideMark/>
          </w:tcPr>
          <w:p w14:paraId="27744C32"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0.034</w:t>
            </w:r>
          </w:p>
        </w:tc>
        <w:tc>
          <w:tcPr>
            <w:tcW w:w="0" w:type="auto"/>
            <w:tcBorders>
              <w:top w:val="nil"/>
              <w:left w:val="nil"/>
              <w:bottom w:val="nil"/>
              <w:right w:val="nil"/>
            </w:tcBorders>
            <w:shd w:val="clear" w:color="auto" w:fill="auto"/>
            <w:noWrap/>
            <w:vAlign w:val="center"/>
            <w:hideMark/>
          </w:tcPr>
          <w:p w14:paraId="339BE0F9"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0.035</w:t>
            </w:r>
          </w:p>
        </w:tc>
        <w:tc>
          <w:tcPr>
            <w:tcW w:w="0" w:type="auto"/>
            <w:tcBorders>
              <w:top w:val="nil"/>
              <w:left w:val="nil"/>
              <w:bottom w:val="nil"/>
              <w:right w:val="nil"/>
            </w:tcBorders>
            <w:shd w:val="clear" w:color="auto" w:fill="auto"/>
            <w:noWrap/>
            <w:vAlign w:val="center"/>
            <w:hideMark/>
          </w:tcPr>
          <w:p w14:paraId="7E127CE1"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0.003</w:t>
            </w:r>
          </w:p>
        </w:tc>
        <w:tc>
          <w:tcPr>
            <w:tcW w:w="0" w:type="auto"/>
            <w:tcBorders>
              <w:top w:val="nil"/>
              <w:left w:val="nil"/>
              <w:bottom w:val="nil"/>
              <w:right w:val="nil"/>
            </w:tcBorders>
            <w:shd w:val="clear" w:color="auto" w:fill="auto"/>
            <w:noWrap/>
            <w:vAlign w:val="center"/>
            <w:hideMark/>
          </w:tcPr>
          <w:p w14:paraId="264DCE6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0.035</w:t>
            </w:r>
          </w:p>
        </w:tc>
      </w:tr>
      <w:tr w:rsidR="00204055" w:rsidRPr="00E81CC3" w14:paraId="28A6A57D" w14:textId="77777777" w:rsidTr="00DE3A10">
        <w:trPr>
          <w:trHeight w:val="20"/>
          <w:jc w:val="center"/>
        </w:trPr>
        <w:tc>
          <w:tcPr>
            <w:tcW w:w="0" w:type="auto"/>
            <w:tcBorders>
              <w:top w:val="nil"/>
              <w:left w:val="nil"/>
              <w:bottom w:val="nil"/>
              <w:right w:val="nil"/>
            </w:tcBorders>
            <w:shd w:val="clear" w:color="auto" w:fill="auto"/>
            <w:noWrap/>
            <w:vAlign w:val="center"/>
            <w:hideMark/>
          </w:tcPr>
          <w:p w14:paraId="06E01AAA"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914" w:type="dxa"/>
            <w:tcBorders>
              <w:top w:val="nil"/>
              <w:left w:val="nil"/>
              <w:bottom w:val="nil"/>
              <w:right w:val="nil"/>
            </w:tcBorders>
            <w:shd w:val="clear" w:color="auto" w:fill="auto"/>
            <w:noWrap/>
            <w:vAlign w:val="center"/>
            <w:hideMark/>
          </w:tcPr>
          <w:p w14:paraId="5E6B9D95" w14:textId="77777777" w:rsidR="00204055" w:rsidRPr="00E81CC3" w:rsidRDefault="00204055" w:rsidP="000D1E0B">
            <w:pPr>
              <w:spacing w:after="0" w:line="240" w:lineRule="auto"/>
              <w:ind w:firstLineChars="200" w:firstLine="280"/>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61895550"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6C9AC563"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08935351"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16EFF0B8"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0DF26F5B"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01EF8281" w14:textId="77777777" w:rsidTr="00DE3A10">
        <w:trPr>
          <w:trHeight w:val="20"/>
          <w:jc w:val="center"/>
        </w:trPr>
        <w:tc>
          <w:tcPr>
            <w:tcW w:w="0" w:type="auto"/>
            <w:tcBorders>
              <w:top w:val="nil"/>
              <w:left w:val="nil"/>
              <w:bottom w:val="nil"/>
              <w:right w:val="nil"/>
            </w:tcBorders>
            <w:shd w:val="clear" w:color="auto" w:fill="auto"/>
            <w:noWrap/>
            <w:vAlign w:val="center"/>
            <w:hideMark/>
          </w:tcPr>
          <w:p w14:paraId="1C27856D"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r w:rsidRPr="00E81CC3">
              <w:rPr>
                <w:rFonts w:ascii="Garamond" w:eastAsia="Times New Roman" w:hAnsi="Garamond" w:cs="Times New Roman"/>
                <w:i/>
                <w:iCs/>
                <w:color w:val="000000"/>
                <w:sz w:val="14"/>
                <w:szCs w:val="16"/>
              </w:rPr>
              <w:t>Civil subtypes areas dummies (Base: Civil =0)</w:t>
            </w:r>
          </w:p>
        </w:tc>
        <w:tc>
          <w:tcPr>
            <w:tcW w:w="914" w:type="dxa"/>
            <w:tcBorders>
              <w:top w:val="nil"/>
              <w:left w:val="nil"/>
              <w:bottom w:val="nil"/>
              <w:right w:val="nil"/>
            </w:tcBorders>
            <w:shd w:val="clear" w:color="auto" w:fill="auto"/>
            <w:noWrap/>
            <w:vAlign w:val="center"/>
            <w:hideMark/>
          </w:tcPr>
          <w:p w14:paraId="33367858"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p>
        </w:tc>
        <w:tc>
          <w:tcPr>
            <w:tcW w:w="0" w:type="auto"/>
            <w:tcBorders>
              <w:top w:val="nil"/>
              <w:left w:val="nil"/>
              <w:bottom w:val="nil"/>
              <w:right w:val="nil"/>
            </w:tcBorders>
            <w:shd w:val="clear" w:color="auto" w:fill="auto"/>
            <w:noWrap/>
            <w:vAlign w:val="center"/>
            <w:hideMark/>
          </w:tcPr>
          <w:p w14:paraId="4BB3A853"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464D689F"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22B367E4"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57A55E48"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7E1EE2CB"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7A2EA8BF" w14:textId="77777777" w:rsidTr="00DE3A10">
        <w:trPr>
          <w:trHeight w:val="20"/>
          <w:jc w:val="center"/>
        </w:trPr>
        <w:tc>
          <w:tcPr>
            <w:tcW w:w="0" w:type="auto"/>
            <w:tcBorders>
              <w:top w:val="nil"/>
              <w:left w:val="nil"/>
              <w:bottom w:val="nil"/>
              <w:right w:val="nil"/>
            </w:tcBorders>
            <w:shd w:val="clear" w:color="auto" w:fill="auto"/>
            <w:noWrap/>
            <w:vAlign w:val="center"/>
            <w:hideMark/>
          </w:tcPr>
          <w:p w14:paraId="5C6E52F9"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case subject is Labor Law</w:t>
            </w:r>
          </w:p>
        </w:tc>
        <w:tc>
          <w:tcPr>
            <w:tcW w:w="914" w:type="dxa"/>
            <w:tcBorders>
              <w:top w:val="nil"/>
              <w:left w:val="nil"/>
              <w:bottom w:val="nil"/>
              <w:right w:val="nil"/>
            </w:tcBorders>
            <w:shd w:val="clear" w:color="auto" w:fill="auto"/>
            <w:noWrap/>
            <w:vAlign w:val="center"/>
            <w:hideMark/>
          </w:tcPr>
          <w:p w14:paraId="0F71F893"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-0.265***</w:t>
            </w:r>
          </w:p>
        </w:tc>
        <w:tc>
          <w:tcPr>
            <w:tcW w:w="0" w:type="auto"/>
            <w:tcBorders>
              <w:top w:val="nil"/>
              <w:left w:val="nil"/>
              <w:bottom w:val="nil"/>
              <w:right w:val="nil"/>
            </w:tcBorders>
            <w:shd w:val="clear" w:color="auto" w:fill="auto"/>
            <w:noWrap/>
            <w:vAlign w:val="center"/>
            <w:hideMark/>
          </w:tcPr>
          <w:p w14:paraId="2259C8EA"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-0.533***</w:t>
            </w:r>
          </w:p>
        </w:tc>
        <w:tc>
          <w:tcPr>
            <w:tcW w:w="0" w:type="auto"/>
            <w:tcBorders>
              <w:top w:val="nil"/>
              <w:left w:val="nil"/>
              <w:bottom w:val="nil"/>
              <w:right w:val="nil"/>
            </w:tcBorders>
            <w:shd w:val="clear" w:color="auto" w:fill="auto"/>
            <w:noWrap/>
            <w:vAlign w:val="center"/>
            <w:hideMark/>
          </w:tcPr>
          <w:p w14:paraId="697D849C"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0.306***</w:t>
            </w:r>
          </w:p>
        </w:tc>
        <w:tc>
          <w:tcPr>
            <w:tcW w:w="0" w:type="auto"/>
            <w:tcBorders>
              <w:top w:val="nil"/>
              <w:left w:val="nil"/>
              <w:bottom w:val="nil"/>
              <w:right w:val="nil"/>
            </w:tcBorders>
            <w:shd w:val="clear" w:color="auto" w:fill="auto"/>
            <w:noWrap/>
            <w:vAlign w:val="center"/>
            <w:hideMark/>
          </w:tcPr>
          <w:p w14:paraId="0F553914"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0.326***</w:t>
            </w:r>
          </w:p>
        </w:tc>
        <w:tc>
          <w:tcPr>
            <w:tcW w:w="0" w:type="auto"/>
            <w:tcBorders>
              <w:top w:val="nil"/>
              <w:left w:val="nil"/>
              <w:bottom w:val="nil"/>
              <w:right w:val="nil"/>
            </w:tcBorders>
            <w:shd w:val="clear" w:color="auto" w:fill="auto"/>
            <w:noWrap/>
            <w:vAlign w:val="center"/>
            <w:hideMark/>
          </w:tcPr>
          <w:p w14:paraId="537B7707"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-0.250*</w:t>
            </w:r>
          </w:p>
        </w:tc>
        <w:tc>
          <w:tcPr>
            <w:tcW w:w="0" w:type="auto"/>
            <w:tcBorders>
              <w:top w:val="nil"/>
              <w:left w:val="nil"/>
              <w:bottom w:val="nil"/>
              <w:right w:val="nil"/>
            </w:tcBorders>
            <w:shd w:val="clear" w:color="auto" w:fill="auto"/>
            <w:noWrap/>
            <w:vAlign w:val="center"/>
            <w:hideMark/>
          </w:tcPr>
          <w:p w14:paraId="42921B50"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0.301***</w:t>
            </w:r>
          </w:p>
        </w:tc>
      </w:tr>
      <w:tr w:rsidR="00204055" w:rsidRPr="00E81CC3" w14:paraId="1C21CBD2" w14:textId="77777777" w:rsidTr="00DE3A10">
        <w:trPr>
          <w:trHeight w:val="20"/>
          <w:jc w:val="center"/>
        </w:trPr>
        <w:tc>
          <w:tcPr>
            <w:tcW w:w="0" w:type="auto"/>
            <w:tcBorders>
              <w:top w:val="nil"/>
              <w:left w:val="nil"/>
              <w:bottom w:val="nil"/>
              <w:right w:val="nil"/>
            </w:tcBorders>
            <w:shd w:val="clear" w:color="auto" w:fill="auto"/>
            <w:noWrap/>
            <w:vAlign w:val="center"/>
            <w:hideMark/>
          </w:tcPr>
          <w:p w14:paraId="6B0C9BAC"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case subject is Public Law</w:t>
            </w:r>
          </w:p>
        </w:tc>
        <w:tc>
          <w:tcPr>
            <w:tcW w:w="914" w:type="dxa"/>
            <w:tcBorders>
              <w:top w:val="nil"/>
              <w:left w:val="nil"/>
              <w:bottom w:val="nil"/>
              <w:right w:val="nil"/>
            </w:tcBorders>
            <w:shd w:val="clear" w:color="auto" w:fill="auto"/>
            <w:noWrap/>
            <w:vAlign w:val="center"/>
            <w:hideMark/>
          </w:tcPr>
          <w:p w14:paraId="5DBD1217"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-0.096*</w:t>
            </w:r>
          </w:p>
        </w:tc>
        <w:tc>
          <w:tcPr>
            <w:tcW w:w="0" w:type="auto"/>
            <w:tcBorders>
              <w:top w:val="nil"/>
              <w:left w:val="nil"/>
              <w:bottom w:val="nil"/>
              <w:right w:val="nil"/>
            </w:tcBorders>
            <w:shd w:val="clear" w:color="auto" w:fill="auto"/>
            <w:noWrap/>
            <w:vAlign w:val="center"/>
            <w:hideMark/>
          </w:tcPr>
          <w:p w14:paraId="396BD8E5"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-0.152</w:t>
            </w:r>
          </w:p>
        </w:tc>
        <w:tc>
          <w:tcPr>
            <w:tcW w:w="0" w:type="auto"/>
            <w:tcBorders>
              <w:top w:val="nil"/>
              <w:left w:val="nil"/>
              <w:bottom w:val="nil"/>
              <w:right w:val="nil"/>
            </w:tcBorders>
            <w:shd w:val="clear" w:color="auto" w:fill="auto"/>
            <w:noWrap/>
            <w:vAlign w:val="center"/>
            <w:hideMark/>
          </w:tcPr>
          <w:p w14:paraId="796C892D"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0.120**</w:t>
            </w:r>
          </w:p>
        </w:tc>
        <w:tc>
          <w:tcPr>
            <w:tcW w:w="0" w:type="auto"/>
            <w:tcBorders>
              <w:top w:val="nil"/>
              <w:left w:val="nil"/>
              <w:bottom w:val="nil"/>
              <w:right w:val="nil"/>
            </w:tcBorders>
            <w:shd w:val="clear" w:color="auto" w:fill="auto"/>
            <w:noWrap/>
            <w:vAlign w:val="center"/>
            <w:hideMark/>
          </w:tcPr>
          <w:p w14:paraId="53D78832"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0.133**</w:t>
            </w:r>
          </w:p>
        </w:tc>
        <w:tc>
          <w:tcPr>
            <w:tcW w:w="0" w:type="auto"/>
            <w:tcBorders>
              <w:top w:val="nil"/>
              <w:left w:val="nil"/>
              <w:bottom w:val="nil"/>
              <w:right w:val="nil"/>
            </w:tcBorders>
            <w:shd w:val="clear" w:color="auto" w:fill="auto"/>
            <w:noWrap/>
            <w:vAlign w:val="center"/>
            <w:hideMark/>
          </w:tcPr>
          <w:p w14:paraId="0E90C1F4"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0.016</w:t>
            </w:r>
          </w:p>
        </w:tc>
        <w:tc>
          <w:tcPr>
            <w:tcW w:w="0" w:type="auto"/>
            <w:tcBorders>
              <w:top w:val="nil"/>
              <w:left w:val="nil"/>
              <w:bottom w:val="nil"/>
              <w:right w:val="nil"/>
            </w:tcBorders>
            <w:shd w:val="clear" w:color="auto" w:fill="auto"/>
            <w:noWrap/>
            <w:vAlign w:val="center"/>
            <w:hideMark/>
          </w:tcPr>
          <w:p w14:paraId="626D74AC"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0.117** </w:t>
            </w:r>
          </w:p>
        </w:tc>
      </w:tr>
      <w:tr w:rsidR="00204055" w:rsidRPr="00E81CC3" w14:paraId="6F1216C5" w14:textId="77777777" w:rsidTr="00DE3A10">
        <w:trPr>
          <w:trHeight w:val="20"/>
          <w:jc w:val="center"/>
        </w:trPr>
        <w:tc>
          <w:tcPr>
            <w:tcW w:w="0" w:type="auto"/>
            <w:tcBorders>
              <w:top w:val="nil"/>
              <w:left w:val="nil"/>
              <w:bottom w:val="nil"/>
              <w:right w:val="nil"/>
            </w:tcBorders>
            <w:shd w:val="clear" w:color="auto" w:fill="auto"/>
            <w:noWrap/>
            <w:vAlign w:val="center"/>
            <w:hideMark/>
          </w:tcPr>
          <w:p w14:paraId="5794E8E4"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case subject is Tort Law</w:t>
            </w:r>
          </w:p>
        </w:tc>
        <w:tc>
          <w:tcPr>
            <w:tcW w:w="914" w:type="dxa"/>
            <w:tcBorders>
              <w:top w:val="nil"/>
              <w:left w:val="nil"/>
              <w:bottom w:val="nil"/>
              <w:right w:val="nil"/>
            </w:tcBorders>
            <w:shd w:val="clear" w:color="auto" w:fill="auto"/>
            <w:noWrap/>
            <w:vAlign w:val="center"/>
            <w:hideMark/>
          </w:tcPr>
          <w:p w14:paraId="06B7561D"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0.181**</w:t>
            </w:r>
          </w:p>
        </w:tc>
        <w:tc>
          <w:tcPr>
            <w:tcW w:w="0" w:type="auto"/>
            <w:tcBorders>
              <w:top w:val="nil"/>
              <w:left w:val="nil"/>
              <w:bottom w:val="nil"/>
              <w:right w:val="nil"/>
            </w:tcBorders>
            <w:shd w:val="clear" w:color="auto" w:fill="auto"/>
            <w:noWrap/>
            <w:vAlign w:val="center"/>
            <w:hideMark/>
          </w:tcPr>
          <w:p w14:paraId="426F3D80"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0.723***</w:t>
            </w:r>
          </w:p>
        </w:tc>
        <w:tc>
          <w:tcPr>
            <w:tcW w:w="0" w:type="auto"/>
            <w:tcBorders>
              <w:top w:val="nil"/>
              <w:left w:val="nil"/>
              <w:bottom w:val="nil"/>
              <w:right w:val="nil"/>
            </w:tcBorders>
            <w:shd w:val="clear" w:color="auto" w:fill="auto"/>
            <w:noWrap/>
            <w:vAlign w:val="center"/>
            <w:hideMark/>
          </w:tcPr>
          <w:p w14:paraId="40971C5C"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-0.128*</w:t>
            </w:r>
          </w:p>
        </w:tc>
        <w:tc>
          <w:tcPr>
            <w:tcW w:w="0" w:type="auto"/>
            <w:tcBorders>
              <w:top w:val="nil"/>
              <w:left w:val="nil"/>
              <w:bottom w:val="nil"/>
              <w:right w:val="nil"/>
            </w:tcBorders>
            <w:shd w:val="clear" w:color="auto" w:fill="auto"/>
            <w:noWrap/>
            <w:vAlign w:val="center"/>
            <w:hideMark/>
          </w:tcPr>
          <w:p w14:paraId="0027CC7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-0.156**</w:t>
            </w:r>
          </w:p>
        </w:tc>
        <w:tc>
          <w:tcPr>
            <w:tcW w:w="0" w:type="auto"/>
            <w:tcBorders>
              <w:top w:val="nil"/>
              <w:left w:val="nil"/>
              <w:bottom w:val="nil"/>
              <w:right w:val="nil"/>
            </w:tcBorders>
            <w:shd w:val="clear" w:color="auto" w:fill="auto"/>
            <w:noWrap/>
            <w:vAlign w:val="center"/>
            <w:hideMark/>
          </w:tcPr>
          <w:p w14:paraId="11DCB3CD"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0.301*</w:t>
            </w:r>
          </w:p>
        </w:tc>
        <w:tc>
          <w:tcPr>
            <w:tcW w:w="0" w:type="auto"/>
            <w:tcBorders>
              <w:top w:val="nil"/>
              <w:left w:val="nil"/>
              <w:bottom w:val="nil"/>
              <w:right w:val="nil"/>
            </w:tcBorders>
            <w:shd w:val="clear" w:color="auto" w:fill="auto"/>
            <w:noWrap/>
            <w:vAlign w:val="center"/>
            <w:hideMark/>
          </w:tcPr>
          <w:p w14:paraId="5AEA7186"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-0.135* </w:t>
            </w:r>
          </w:p>
        </w:tc>
      </w:tr>
      <w:tr w:rsidR="00204055" w:rsidRPr="00E81CC3" w14:paraId="4CA75B6A" w14:textId="77777777" w:rsidTr="00DE3A10">
        <w:trPr>
          <w:trHeight w:val="20"/>
          <w:jc w:val="center"/>
        </w:trPr>
        <w:tc>
          <w:tcPr>
            <w:tcW w:w="0" w:type="auto"/>
            <w:tcBorders>
              <w:top w:val="nil"/>
              <w:left w:val="nil"/>
              <w:bottom w:val="nil"/>
              <w:right w:val="nil"/>
            </w:tcBorders>
            <w:shd w:val="clear" w:color="auto" w:fill="auto"/>
            <w:noWrap/>
            <w:vAlign w:val="center"/>
            <w:hideMark/>
          </w:tcPr>
          <w:p w14:paraId="240087F7"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914" w:type="dxa"/>
            <w:tcBorders>
              <w:top w:val="nil"/>
              <w:left w:val="nil"/>
              <w:bottom w:val="nil"/>
              <w:right w:val="nil"/>
            </w:tcBorders>
            <w:shd w:val="clear" w:color="auto" w:fill="auto"/>
            <w:noWrap/>
            <w:vAlign w:val="center"/>
            <w:hideMark/>
          </w:tcPr>
          <w:p w14:paraId="436CE712" w14:textId="77777777" w:rsidR="00204055" w:rsidRPr="00E81CC3" w:rsidRDefault="00204055" w:rsidP="000D1E0B">
            <w:pPr>
              <w:spacing w:after="0" w:line="240" w:lineRule="auto"/>
              <w:ind w:firstLineChars="200" w:firstLine="280"/>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43E97D4C"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6F78ABB1"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035F9267"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04801884"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4139420A"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143C8218" w14:textId="77777777" w:rsidTr="00DE3A10">
        <w:trPr>
          <w:trHeight w:val="20"/>
          <w:jc w:val="center"/>
        </w:trPr>
        <w:tc>
          <w:tcPr>
            <w:tcW w:w="0" w:type="auto"/>
            <w:tcBorders>
              <w:top w:val="nil"/>
              <w:left w:val="nil"/>
              <w:bottom w:val="nil"/>
              <w:right w:val="nil"/>
            </w:tcBorders>
            <w:shd w:val="clear" w:color="auto" w:fill="auto"/>
            <w:noWrap/>
            <w:vAlign w:val="center"/>
            <w:hideMark/>
          </w:tcPr>
          <w:p w14:paraId="4B6ACCEC"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r w:rsidRPr="00E81CC3">
              <w:rPr>
                <w:rFonts w:ascii="Garamond" w:eastAsia="Times New Roman" w:hAnsi="Garamond" w:cs="Times New Roman"/>
                <w:i/>
                <w:iCs/>
                <w:color w:val="000000"/>
                <w:sz w:val="14"/>
                <w:szCs w:val="16"/>
              </w:rPr>
              <w:t>Criminal (Base: Civil =0, Time &lt; 280 days)</w:t>
            </w:r>
          </w:p>
        </w:tc>
        <w:tc>
          <w:tcPr>
            <w:tcW w:w="914" w:type="dxa"/>
            <w:tcBorders>
              <w:top w:val="nil"/>
              <w:left w:val="nil"/>
              <w:bottom w:val="nil"/>
              <w:right w:val="nil"/>
            </w:tcBorders>
            <w:shd w:val="clear" w:color="auto" w:fill="auto"/>
            <w:noWrap/>
            <w:vAlign w:val="center"/>
            <w:hideMark/>
          </w:tcPr>
          <w:p w14:paraId="5B444449" w14:textId="77777777" w:rsidR="00204055" w:rsidRPr="00E81CC3" w:rsidRDefault="00204055" w:rsidP="000D1E0B">
            <w:pPr>
              <w:spacing w:after="0" w:line="240" w:lineRule="auto"/>
              <w:rPr>
                <w:rFonts w:ascii="Garamond" w:eastAsia="Times New Roman" w:hAnsi="Garamond" w:cs="Times New Roman"/>
                <w:i/>
                <w:iCs/>
                <w:color w:val="000000"/>
                <w:sz w:val="14"/>
                <w:szCs w:val="16"/>
              </w:rPr>
            </w:pPr>
          </w:p>
        </w:tc>
        <w:tc>
          <w:tcPr>
            <w:tcW w:w="0" w:type="auto"/>
            <w:tcBorders>
              <w:top w:val="nil"/>
              <w:left w:val="nil"/>
              <w:bottom w:val="nil"/>
              <w:right w:val="nil"/>
            </w:tcBorders>
            <w:shd w:val="clear" w:color="auto" w:fill="auto"/>
            <w:noWrap/>
            <w:vAlign w:val="center"/>
            <w:hideMark/>
          </w:tcPr>
          <w:p w14:paraId="64FC9A74"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49BE5099"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2526CC1C"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5C710F6F"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7869F72D"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2EB60759" w14:textId="77777777" w:rsidTr="00DE3A10">
        <w:trPr>
          <w:trHeight w:val="20"/>
          <w:jc w:val="center"/>
        </w:trPr>
        <w:tc>
          <w:tcPr>
            <w:tcW w:w="0" w:type="auto"/>
            <w:tcBorders>
              <w:top w:val="nil"/>
              <w:left w:val="nil"/>
              <w:bottom w:val="nil"/>
              <w:right w:val="nil"/>
            </w:tcBorders>
            <w:shd w:val="clear" w:color="auto" w:fill="auto"/>
            <w:noWrap/>
            <w:vAlign w:val="center"/>
            <w:hideMark/>
          </w:tcPr>
          <w:p w14:paraId="70579939"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case subject is Criminal Law or Criminal Procedure Law</w:t>
            </w:r>
          </w:p>
        </w:tc>
        <w:tc>
          <w:tcPr>
            <w:tcW w:w="914" w:type="dxa"/>
            <w:tcBorders>
              <w:top w:val="nil"/>
              <w:left w:val="nil"/>
              <w:bottom w:val="nil"/>
              <w:right w:val="nil"/>
            </w:tcBorders>
            <w:shd w:val="clear" w:color="auto" w:fill="auto"/>
            <w:noWrap/>
            <w:vAlign w:val="center"/>
            <w:hideMark/>
          </w:tcPr>
          <w:p w14:paraId="6B9E1CFC"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-0.437***</w:t>
            </w:r>
          </w:p>
        </w:tc>
        <w:tc>
          <w:tcPr>
            <w:tcW w:w="0" w:type="auto"/>
            <w:tcBorders>
              <w:top w:val="nil"/>
              <w:left w:val="nil"/>
              <w:bottom w:val="nil"/>
              <w:right w:val="nil"/>
            </w:tcBorders>
            <w:shd w:val="clear" w:color="auto" w:fill="auto"/>
            <w:noWrap/>
            <w:vAlign w:val="center"/>
            <w:hideMark/>
          </w:tcPr>
          <w:p w14:paraId="2BCAE45D"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-0.942***</w:t>
            </w:r>
          </w:p>
        </w:tc>
        <w:tc>
          <w:tcPr>
            <w:tcW w:w="0" w:type="auto"/>
            <w:tcBorders>
              <w:top w:val="nil"/>
              <w:left w:val="nil"/>
              <w:bottom w:val="nil"/>
              <w:right w:val="nil"/>
            </w:tcBorders>
            <w:shd w:val="clear" w:color="auto" w:fill="auto"/>
            <w:noWrap/>
            <w:vAlign w:val="center"/>
            <w:hideMark/>
          </w:tcPr>
          <w:p w14:paraId="21A77E28"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0.499***</w:t>
            </w:r>
          </w:p>
        </w:tc>
        <w:tc>
          <w:tcPr>
            <w:tcW w:w="0" w:type="auto"/>
            <w:tcBorders>
              <w:top w:val="nil"/>
              <w:left w:val="nil"/>
              <w:bottom w:val="nil"/>
              <w:right w:val="nil"/>
            </w:tcBorders>
            <w:shd w:val="clear" w:color="auto" w:fill="auto"/>
            <w:noWrap/>
            <w:vAlign w:val="center"/>
            <w:hideMark/>
          </w:tcPr>
          <w:p w14:paraId="319F8B1D"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0.513***</w:t>
            </w:r>
          </w:p>
        </w:tc>
        <w:tc>
          <w:tcPr>
            <w:tcW w:w="0" w:type="auto"/>
            <w:tcBorders>
              <w:top w:val="nil"/>
              <w:left w:val="nil"/>
              <w:bottom w:val="nil"/>
              <w:right w:val="nil"/>
            </w:tcBorders>
            <w:shd w:val="clear" w:color="auto" w:fill="auto"/>
            <w:noWrap/>
            <w:vAlign w:val="center"/>
            <w:hideMark/>
          </w:tcPr>
          <w:p w14:paraId="50A8B56B"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-0.523***</w:t>
            </w:r>
          </w:p>
        </w:tc>
        <w:tc>
          <w:tcPr>
            <w:tcW w:w="0" w:type="auto"/>
            <w:tcBorders>
              <w:top w:val="nil"/>
              <w:left w:val="nil"/>
              <w:bottom w:val="nil"/>
              <w:right w:val="nil"/>
            </w:tcBorders>
            <w:shd w:val="clear" w:color="auto" w:fill="auto"/>
            <w:noWrap/>
            <w:vAlign w:val="center"/>
            <w:hideMark/>
          </w:tcPr>
          <w:p w14:paraId="7344BA8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0.492***</w:t>
            </w:r>
          </w:p>
        </w:tc>
      </w:tr>
      <w:tr w:rsidR="00204055" w:rsidRPr="00E81CC3" w14:paraId="131C5E36" w14:textId="77777777" w:rsidTr="00DE3A10">
        <w:trPr>
          <w:trHeight w:val="20"/>
          <w:jc w:val="center"/>
        </w:trPr>
        <w:tc>
          <w:tcPr>
            <w:tcW w:w="0" w:type="auto"/>
            <w:tcBorders>
              <w:top w:val="nil"/>
              <w:left w:val="nil"/>
              <w:bottom w:val="nil"/>
              <w:right w:val="nil"/>
            </w:tcBorders>
            <w:shd w:val="clear" w:color="auto" w:fill="auto"/>
            <w:noWrap/>
            <w:vAlign w:val="center"/>
            <w:hideMark/>
          </w:tcPr>
          <w:p w14:paraId="18449D81"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time is equal or longer than 280 days</w:t>
            </w:r>
          </w:p>
        </w:tc>
        <w:tc>
          <w:tcPr>
            <w:tcW w:w="914" w:type="dxa"/>
            <w:tcBorders>
              <w:top w:val="nil"/>
              <w:left w:val="nil"/>
              <w:bottom w:val="nil"/>
              <w:right w:val="nil"/>
            </w:tcBorders>
            <w:shd w:val="clear" w:color="auto" w:fill="auto"/>
            <w:noWrap/>
            <w:vAlign w:val="center"/>
            <w:hideMark/>
          </w:tcPr>
          <w:p w14:paraId="1B5B0BD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-1.012***</w:t>
            </w:r>
          </w:p>
        </w:tc>
        <w:tc>
          <w:tcPr>
            <w:tcW w:w="0" w:type="auto"/>
            <w:tcBorders>
              <w:top w:val="nil"/>
              <w:left w:val="nil"/>
              <w:bottom w:val="nil"/>
              <w:right w:val="nil"/>
            </w:tcBorders>
            <w:shd w:val="clear" w:color="auto" w:fill="auto"/>
            <w:noWrap/>
            <w:vAlign w:val="center"/>
            <w:hideMark/>
          </w:tcPr>
          <w:p w14:paraId="0EE331B9"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-2.995***</w:t>
            </w:r>
          </w:p>
        </w:tc>
        <w:tc>
          <w:tcPr>
            <w:tcW w:w="0" w:type="auto"/>
            <w:tcBorders>
              <w:top w:val="nil"/>
              <w:left w:val="nil"/>
              <w:bottom w:val="nil"/>
              <w:right w:val="nil"/>
            </w:tcBorders>
            <w:shd w:val="clear" w:color="auto" w:fill="auto"/>
            <w:noWrap/>
            <w:vAlign w:val="center"/>
            <w:hideMark/>
          </w:tcPr>
          <w:p w14:paraId="3CF7332A"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1.023***</w:t>
            </w:r>
          </w:p>
        </w:tc>
        <w:tc>
          <w:tcPr>
            <w:tcW w:w="0" w:type="auto"/>
            <w:tcBorders>
              <w:top w:val="nil"/>
              <w:left w:val="nil"/>
              <w:bottom w:val="nil"/>
              <w:right w:val="nil"/>
            </w:tcBorders>
            <w:shd w:val="clear" w:color="auto" w:fill="auto"/>
            <w:noWrap/>
            <w:vAlign w:val="center"/>
            <w:hideMark/>
          </w:tcPr>
          <w:p w14:paraId="7272AB7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0.957***</w:t>
            </w:r>
          </w:p>
        </w:tc>
        <w:tc>
          <w:tcPr>
            <w:tcW w:w="0" w:type="auto"/>
            <w:tcBorders>
              <w:top w:val="nil"/>
              <w:left w:val="nil"/>
              <w:bottom w:val="nil"/>
              <w:right w:val="nil"/>
            </w:tcBorders>
            <w:shd w:val="clear" w:color="auto" w:fill="auto"/>
            <w:noWrap/>
            <w:vAlign w:val="center"/>
            <w:hideMark/>
          </w:tcPr>
          <w:p w14:paraId="342A0DCA"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-2.242***</w:t>
            </w:r>
          </w:p>
        </w:tc>
        <w:tc>
          <w:tcPr>
            <w:tcW w:w="0" w:type="auto"/>
            <w:tcBorders>
              <w:top w:val="nil"/>
              <w:left w:val="nil"/>
              <w:bottom w:val="nil"/>
              <w:right w:val="nil"/>
            </w:tcBorders>
            <w:shd w:val="clear" w:color="auto" w:fill="auto"/>
            <w:noWrap/>
            <w:vAlign w:val="center"/>
            <w:hideMark/>
          </w:tcPr>
          <w:p w14:paraId="4C5FD287"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1.021***</w:t>
            </w:r>
          </w:p>
        </w:tc>
      </w:tr>
      <w:tr w:rsidR="00204055" w:rsidRPr="00E81CC3" w14:paraId="27CAA8C0" w14:textId="77777777" w:rsidTr="00DE3A10">
        <w:trPr>
          <w:trHeight w:val="20"/>
          <w:jc w:val="center"/>
        </w:trPr>
        <w:tc>
          <w:tcPr>
            <w:tcW w:w="0" w:type="auto"/>
            <w:tcBorders>
              <w:top w:val="nil"/>
              <w:left w:val="nil"/>
              <w:bottom w:val="nil"/>
              <w:right w:val="nil"/>
            </w:tcBorders>
            <w:shd w:val="clear" w:color="auto" w:fill="auto"/>
            <w:noWrap/>
            <w:vAlign w:val="center"/>
            <w:hideMark/>
          </w:tcPr>
          <w:p w14:paraId="4256F6F0"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 if case subject is Criminal Law or Criminal Procedure Law</w:t>
            </w:r>
          </w:p>
          <w:p w14:paraId="1D4C2D4E" w14:textId="77777777" w:rsidR="00204055" w:rsidRPr="00E81CC3" w:rsidRDefault="00204055" w:rsidP="000D1E0B">
            <w:pPr>
              <w:spacing w:after="0" w:line="240" w:lineRule="auto"/>
              <w:ind w:firstLineChars="200" w:firstLine="280"/>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 and time is equal or longer than 280 days</w:t>
            </w:r>
          </w:p>
        </w:tc>
        <w:tc>
          <w:tcPr>
            <w:tcW w:w="914" w:type="dxa"/>
            <w:tcBorders>
              <w:top w:val="nil"/>
              <w:left w:val="nil"/>
              <w:bottom w:val="nil"/>
              <w:right w:val="nil"/>
            </w:tcBorders>
            <w:shd w:val="clear" w:color="auto" w:fill="auto"/>
            <w:noWrap/>
            <w:vAlign w:val="center"/>
            <w:hideMark/>
          </w:tcPr>
          <w:p w14:paraId="0E72D431"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0.468***</w:t>
            </w:r>
          </w:p>
        </w:tc>
        <w:tc>
          <w:tcPr>
            <w:tcW w:w="0" w:type="auto"/>
            <w:tcBorders>
              <w:top w:val="nil"/>
              <w:left w:val="nil"/>
              <w:bottom w:val="nil"/>
              <w:right w:val="nil"/>
            </w:tcBorders>
            <w:shd w:val="clear" w:color="auto" w:fill="auto"/>
            <w:noWrap/>
            <w:vAlign w:val="center"/>
            <w:hideMark/>
          </w:tcPr>
          <w:p w14:paraId="664320E2"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1.383***</w:t>
            </w:r>
          </w:p>
        </w:tc>
        <w:tc>
          <w:tcPr>
            <w:tcW w:w="0" w:type="auto"/>
            <w:tcBorders>
              <w:top w:val="nil"/>
              <w:left w:val="nil"/>
              <w:bottom w:val="nil"/>
              <w:right w:val="nil"/>
            </w:tcBorders>
            <w:shd w:val="clear" w:color="auto" w:fill="auto"/>
            <w:noWrap/>
            <w:vAlign w:val="center"/>
            <w:hideMark/>
          </w:tcPr>
          <w:p w14:paraId="38516A13"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-0.466***</w:t>
            </w:r>
          </w:p>
        </w:tc>
        <w:tc>
          <w:tcPr>
            <w:tcW w:w="0" w:type="auto"/>
            <w:tcBorders>
              <w:top w:val="nil"/>
              <w:left w:val="nil"/>
              <w:bottom w:val="nil"/>
              <w:right w:val="nil"/>
            </w:tcBorders>
            <w:shd w:val="clear" w:color="auto" w:fill="auto"/>
            <w:noWrap/>
            <w:vAlign w:val="center"/>
            <w:hideMark/>
          </w:tcPr>
          <w:p w14:paraId="265F2AED"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-0.459***</w:t>
            </w:r>
          </w:p>
        </w:tc>
        <w:tc>
          <w:tcPr>
            <w:tcW w:w="0" w:type="auto"/>
            <w:tcBorders>
              <w:top w:val="nil"/>
              <w:left w:val="nil"/>
              <w:bottom w:val="nil"/>
              <w:right w:val="nil"/>
            </w:tcBorders>
            <w:shd w:val="clear" w:color="auto" w:fill="auto"/>
            <w:noWrap/>
            <w:vAlign w:val="center"/>
            <w:hideMark/>
          </w:tcPr>
          <w:p w14:paraId="2BFE9FA3"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1.144***</w:t>
            </w:r>
          </w:p>
        </w:tc>
        <w:tc>
          <w:tcPr>
            <w:tcW w:w="0" w:type="auto"/>
            <w:tcBorders>
              <w:top w:val="nil"/>
              <w:left w:val="nil"/>
              <w:bottom w:val="nil"/>
              <w:right w:val="nil"/>
            </w:tcBorders>
            <w:shd w:val="clear" w:color="auto" w:fill="auto"/>
            <w:noWrap/>
            <w:vAlign w:val="center"/>
            <w:hideMark/>
          </w:tcPr>
          <w:p w14:paraId="623F0C60"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-0.466***</w:t>
            </w:r>
          </w:p>
        </w:tc>
      </w:tr>
      <w:tr w:rsidR="00204055" w:rsidRPr="00E81CC3" w14:paraId="03965041" w14:textId="77777777" w:rsidTr="00DE3A10">
        <w:trPr>
          <w:trHeight w:val="20"/>
          <w:jc w:val="center"/>
        </w:trPr>
        <w:tc>
          <w:tcPr>
            <w:tcW w:w="0" w:type="auto"/>
            <w:tcBorders>
              <w:top w:val="nil"/>
              <w:left w:val="nil"/>
              <w:bottom w:val="nil"/>
              <w:right w:val="nil"/>
            </w:tcBorders>
            <w:shd w:val="clear" w:color="auto" w:fill="auto"/>
            <w:noWrap/>
            <w:vAlign w:val="center"/>
            <w:hideMark/>
          </w:tcPr>
          <w:p w14:paraId="24B89A7B"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914" w:type="dxa"/>
            <w:tcBorders>
              <w:top w:val="nil"/>
              <w:left w:val="nil"/>
              <w:bottom w:val="nil"/>
              <w:right w:val="nil"/>
            </w:tcBorders>
            <w:shd w:val="clear" w:color="auto" w:fill="auto"/>
            <w:noWrap/>
            <w:vAlign w:val="center"/>
            <w:hideMark/>
          </w:tcPr>
          <w:p w14:paraId="590B1428" w14:textId="77777777" w:rsidR="00204055" w:rsidRPr="00E81CC3" w:rsidRDefault="00204055" w:rsidP="000D1E0B">
            <w:pPr>
              <w:spacing w:after="0" w:line="240" w:lineRule="auto"/>
              <w:ind w:firstLineChars="200" w:firstLine="280"/>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19113A92"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4500A611"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44EFA867"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391C432C"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0C49BAF7"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4DDCE7C0" w14:textId="77777777" w:rsidTr="00DE3A10">
        <w:trPr>
          <w:trHeight w:val="20"/>
          <w:jc w:val="center"/>
        </w:trPr>
        <w:tc>
          <w:tcPr>
            <w:tcW w:w="0" w:type="auto"/>
            <w:tcBorders>
              <w:top w:val="nil"/>
              <w:left w:val="nil"/>
              <w:bottom w:val="nil"/>
              <w:right w:val="nil"/>
            </w:tcBorders>
            <w:shd w:val="clear" w:color="auto" w:fill="auto"/>
            <w:noWrap/>
            <w:vAlign w:val="center"/>
            <w:hideMark/>
          </w:tcPr>
          <w:p w14:paraId="38917BC5"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Constant</w:t>
            </w:r>
          </w:p>
        </w:tc>
        <w:tc>
          <w:tcPr>
            <w:tcW w:w="914" w:type="dxa"/>
            <w:tcBorders>
              <w:top w:val="nil"/>
              <w:left w:val="nil"/>
              <w:bottom w:val="nil"/>
              <w:right w:val="nil"/>
            </w:tcBorders>
            <w:shd w:val="clear" w:color="auto" w:fill="auto"/>
            <w:noWrap/>
            <w:vAlign w:val="center"/>
            <w:hideMark/>
          </w:tcPr>
          <w:p w14:paraId="40460A36"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-4.895***</w:t>
            </w:r>
          </w:p>
        </w:tc>
        <w:tc>
          <w:tcPr>
            <w:tcW w:w="0" w:type="auto"/>
            <w:tcBorders>
              <w:top w:val="nil"/>
              <w:left w:val="nil"/>
              <w:bottom w:val="nil"/>
              <w:right w:val="nil"/>
            </w:tcBorders>
            <w:shd w:val="clear" w:color="auto" w:fill="auto"/>
            <w:noWrap/>
            <w:vAlign w:val="center"/>
            <w:hideMark/>
          </w:tcPr>
          <w:p w14:paraId="5A0284B2"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-14.709***</w:t>
            </w:r>
          </w:p>
        </w:tc>
        <w:tc>
          <w:tcPr>
            <w:tcW w:w="0" w:type="auto"/>
            <w:tcBorders>
              <w:top w:val="nil"/>
              <w:left w:val="nil"/>
              <w:bottom w:val="nil"/>
              <w:right w:val="nil"/>
            </w:tcBorders>
            <w:shd w:val="clear" w:color="auto" w:fill="auto"/>
            <w:noWrap/>
            <w:vAlign w:val="center"/>
            <w:hideMark/>
          </w:tcPr>
          <w:p w14:paraId="2DA97AA8"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4.795***</w:t>
            </w:r>
          </w:p>
        </w:tc>
        <w:tc>
          <w:tcPr>
            <w:tcW w:w="0" w:type="auto"/>
            <w:tcBorders>
              <w:top w:val="nil"/>
              <w:left w:val="nil"/>
              <w:bottom w:val="nil"/>
              <w:right w:val="nil"/>
            </w:tcBorders>
            <w:shd w:val="clear" w:color="auto" w:fill="auto"/>
            <w:noWrap/>
            <w:vAlign w:val="center"/>
            <w:hideMark/>
          </w:tcPr>
          <w:p w14:paraId="59D33846"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4.808***</w:t>
            </w:r>
          </w:p>
        </w:tc>
        <w:tc>
          <w:tcPr>
            <w:tcW w:w="0" w:type="auto"/>
            <w:tcBorders>
              <w:top w:val="nil"/>
              <w:left w:val="nil"/>
              <w:bottom w:val="nil"/>
              <w:right w:val="nil"/>
            </w:tcBorders>
            <w:shd w:val="clear" w:color="auto" w:fill="auto"/>
            <w:noWrap/>
            <w:vAlign w:val="center"/>
            <w:hideMark/>
          </w:tcPr>
          <w:p w14:paraId="1722CCF1"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-5.334***</w:t>
            </w:r>
          </w:p>
        </w:tc>
        <w:tc>
          <w:tcPr>
            <w:tcW w:w="0" w:type="auto"/>
            <w:tcBorders>
              <w:top w:val="nil"/>
              <w:left w:val="nil"/>
              <w:bottom w:val="nil"/>
              <w:right w:val="nil"/>
            </w:tcBorders>
            <w:shd w:val="clear" w:color="auto" w:fill="auto"/>
            <w:noWrap/>
            <w:vAlign w:val="center"/>
            <w:hideMark/>
          </w:tcPr>
          <w:p w14:paraId="2D1D0887"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4.808***</w:t>
            </w:r>
          </w:p>
        </w:tc>
      </w:tr>
      <w:tr w:rsidR="00204055" w:rsidRPr="00E81CC3" w14:paraId="4DA15B92" w14:textId="77777777" w:rsidTr="00DE3A10">
        <w:trPr>
          <w:trHeight w:val="20"/>
          <w:jc w:val="center"/>
        </w:trPr>
        <w:tc>
          <w:tcPr>
            <w:tcW w:w="0" w:type="auto"/>
            <w:tcBorders>
              <w:top w:val="nil"/>
              <w:left w:val="nil"/>
              <w:bottom w:val="nil"/>
              <w:right w:val="nil"/>
            </w:tcBorders>
            <w:shd w:val="clear" w:color="auto" w:fill="auto"/>
            <w:noWrap/>
            <w:vAlign w:val="center"/>
            <w:hideMark/>
          </w:tcPr>
          <w:p w14:paraId="2EB3A03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914" w:type="dxa"/>
            <w:tcBorders>
              <w:top w:val="nil"/>
              <w:left w:val="nil"/>
              <w:bottom w:val="nil"/>
              <w:right w:val="nil"/>
            </w:tcBorders>
            <w:shd w:val="clear" w:color="auto" w:fill="auto"/>
            <w:noWrap/>
            <w:vAlign w:val="center"/>
            <w:hideMark/>
          </w:tcPr>
          <w:p w14:paraId="3C174F27" w14:textId="77777777" w:rsidR="00204055" w:rsidRPr="00E81CC3" w:rsidRDefault="00204055" w:rsidP="000D1E0B">
            <w:pPr>
              <w:spacing w:after="0" w:line="240" w:lineRule="auto"/>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654462D5"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0B907327"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3F9E569E"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386DAEC2"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62D62DA1" w14:textId="77777777" w:rsidR="00204055" w:rsidRPr="00E81CC3" w:rsidRDefault="00204055" w:rsidP="000D1E0B">
            <w:pPr>
              <w:spacing w:after="0" w:line="240" w:lineRule="auto"/>
              <w:jc w:val="center"/>
              <w:rPr>
                <w:rFonts w:ascii="Garamond" w:eastAsia="Times New Roman" w:hAnsi="Garamond" w:cs="Times New Roman"/>
                <w:sz w:val="14"/>
                <w:szCs w:val="20"/>
              </w:rPr>
            </w:pPr>
          </w:p>
        </w:tc>
      </w:tr>
      <w:tr w:rsidR="00204055" w:rsidRPr="00E81CC3" w14:paraId="7E3A1A4A" w14:textId="77777777" w:rsidTr="00DE3A10">
        <w:trPr>
          <w:trHeight w:val="20"/>
          <w:jc w:val="center"/>
        </w:trPr>
        <w:tc>
          <w:tcPr>
            <w:tcW w:w="0" w:type="auto"/>
            <w:tcBorders>
              <w:top w:val="nil"/>
              <w:left w:val="nil"/>
              <w:bottom w:val="nil"/>
              <w:right w:val="nil"/>
            </w:tcBorders>
            <w:shd w:val="clear" w:color="auto" w:fill="auto"/>
            <w:noWrap/>
            <w:vAlign w:val="center"/>
            <w:hideMark/>
          </w:tcPr>
          <w:p w14:paraId="4242C0F6"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Ln(p) for Weibull estimate</w:t>
            </w:r>
          </w:p>
        </w:tc>
        <w:tc>
          <w:tcPr>
            <w:tcW w:w="914" w:type="dxa"/>
            <w:tcBorders>
              <w:top w:val="nil"/>
              <w:left w:val="nil"/>
              <w:bottom w:val="nil"/>
              <w:right w:val="nil"/>
            </w:tcBorders>
            <w:shd w:val="clear" w:color="auto" w:fill="auto"/>
            <w:noWrap/>
            <w:vAlign w:val="center"/>
            <w:hideMark/>
          </w:tcPr>
          <w:p w14:paraId="15F17DCE" w14:textId="77777777" w:rsidR="00204055" w:rsidRPr="00E81CC3" w:rsidRDefault="00204055" w:rsidP="000D1E0B">
            <w:pPr>
              <w:spacing w:after="0" w:line="240" w:lineRule="auto"/>
              <w:rPr>
                <w:rFonts w:ascii="Garamond" w:eastAsia="Times New Roman" w:hAnsi="Garamond" w:cs="Times New Roman"/>
                <w:color w:val="000000"/>
                <w:sz w:val="14"/>
                <w:szCs w:val="16"/>
              </w:rPr>
            </w:pPr>
          </w:p>
        </w:tc>
        <w:tc>
          <w:tcPr>
            <w:tcW w:w="0" w:type="auto"/>
            <w:tcBorders>
              <w:top w:val="nil"/>
              <w:left w:val="nil"/>
              <w:bottom w:val="nil"/>
              <w:right w:val="nil"/>
            </w:tcBorders>
            <w:shd w:val="clear" w:color="auto" w:fill="auto"/>
            <w:noWrap/>
            <w:vAlign w:val="center"/>
            <w:hideMark/>
          </w:tcPr>
          <w:p w14:paraId="6C73F28B"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1.067***</w:t>
            </w:r>
          </w:p>
        </w:tc>
        <w:tc>
          <w:tcPr>
            <w:tcW w:w="0" w:type="auto"/>
            <w:tcBorders>
              <w:top w:val="nil"/>
              <w:left w:val="nil"/>
              <w:bottom w:val="nil"/>
              <w:right w:val="nil"/>
            </w:tcBorders>
            <w:shd w:val="clear" w:color="auto" w:fill="auto"/>
            <w:noWrap/>
            <w:vAlign w:val="center"/>
            <w:hideMark/>
          </w:tcPr>
          <w:p w14:paraId="372CACDE"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0" w:type="auto"/>
            <w:tcBorders>
              <w:top w:val="nil"/>
              <w:left w:val="nil"/>
              <w:bottom w:val="nil"/>
              <w:right w:val="nil"/>
            </w:tcBorders>
            <w:shd w:val="clear" w:color="auto" w:fill="auto"/>
            <w:noWrap/>
            <w:vAlign w:val="center"/>
            <w:hideMark/>
          </w:tcPr>
          <w:p w14:paraId="47F0898E"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71D9DC4F"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4DE5A6BA"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 </w:t>
            </w:r>
          </w:p>
        </w:tc>
      </w:tr>
      <w:tr w:rsidR="00204055" w:rsidRPr="00E81CC3" w14:paraId="02E6BAD3" w14:textId="77777777" w:rsidTr="00DE3A10">
        <w:trPr>
          <w:trHeight w:val="20"/>
          <w:jc w:val="center"/>
        </w:trPr>
        <w:tc>
          <w:tcPr>
            <w:tcW w:w="0" w:type="auto"/>
            <w:tcBorders>
              <w:top w:val="nil"/>
              <w:left w:val="nil"/>
              <w:bottom w:val="nil"/>
              <w:right w:val="nil"/>
            </w:tcBorders>
            <w:shd w:val="clear" w:color="auto" w:fill="auto"/>
            <w:noWrap/>
            <w:vAlign w:val="center"/>
            <w:hideMark/>
          </w:tcPr>
          <w:p w14:paraId="160F783B"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Ln(sigma) for Lognormal and Gamma estimates</w:t>
            </w:r>
          </w:p>
        </w:tc>
        <w:tc>
          <w:tcPr>
            <w:tcW w:w="914" w:type="dxa"/>
            <w:tcBorders>
              <w:top w:val="nil"/>
              <w:left w:val="nil"/>
              <w:bottom w:val="nil"/>
              <w:right w:val="nil"/>
            </w:tcBorders>
            <w:shd w:val="clear" w:color="auto" w:fill="auto"/>
            <w:noWrap/>
            <w:vAlign w:val="center"/>
            <w:hideMark/>
          </w:tcPr>
          <w:p w14:paraId="6A841FE9" w14:textId="77777777" w:rsidR="00204055" w:rsidRPr="00E81CC3" w:rsidRDefault="00204055" w:rsidP="000D1E0B">
            <w:pPr>
              <w:spacing w:after="0" w:line="240" w:lineRule="auto"/>
              <w:rPr>
                <w:rFonts w:ascii="Garamond" w:eastAsia="Times New Roman" w:hAnsi="Garamond" w:cs="Times New Roman"/>
                <w:color w:val="000000"/>
                <w:sz w:val="14"/>
                <w:szCs w:val="16"/>
              </w:rPr>
            </w:pPr>
          </w:p>
        </w:tc>
        <w:tc>
          <w:tcPr>
            <w:tcW w:w="0" w:type="auto"/>
            <w:tcBorders>
              <w:top w:val="nil"/>
              <w:left w:val="nil"/>
              <w:bottom w:val="nil"/>
              <w:right w:val="nil"/>
            </w:tcBorders>
            <w:shd w:val="clear" w:color="auto" w:fill="auto"/>
            <w:noWrap/>
            <w:vAlign w:val="center"/>
            <w:hideMark/>
          </w:tcPr>
          <w:p w14:paraId="69C91B7D"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63306F30"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-1.023***</w:t>
            </w:r>
          </w:p>
        </w:tc>
        <w:tc>
          <w:tcPr>
            <w:tcW w:w="0" w:type="auto"/>
            <w:tcBorders>
              <w:top w:val="nil"/>
              <w:left w:val="nil"/>
              <w:bottom w:val="nil"/>
              <w:right w:val="nil"/>
            </w:tcBorders>
            <w:shd w:val="clear" w:color="auto" w:fill="auto"/>
            <w:noWrap/>
            <w:vAlign w:val="center"/>
            <w:hideMark/>
          </w:tcPr>
          <w:p w14:paraId="54266A0A"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0" w:type="auto"/>
            <w:tcBorders>
              <w:top w:val="nil"/>
              <w:left w:val="nil"/>
              <w:bottom w:val="nil"/>
              <w:right w:val="nil"/>
            </w:tcBorders>
            <w:shd w:val="clear" w:color="auto" w:fill="auto"/>
            <w:noWrap/>
            <w:vAlign w:val="center"/>
            <w:hideMark/>
          </w:tcPr>
          <w:p w14:paraId="60BEE729"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16B6EE75"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-1.023***</w:t>
            </w:r>
          </w:p>
        </w:tc>
      </w:tr>
      <w:tr w:rsidR="00204055" w:rsidRPr="00E81CC3" w14:paraId="40A47B38" w14:textId="77777777" w:rsidTr="00DE3A10">
        <w:trPr>
          <w:trHeight w:val="20"/>
          <w:jc w:val="center"/>
        </w:trPr>
        <w:tc>
          <w:tcPr>
            <w:tcW w:w="0" w:type="auto"/>
            <w:tcBorders>
              <w:top w:val="nil"/>
              <w:left w:val="nil"/>
              <w:bottom w:val="nil"/>
              <w:right w:val="nil"/>
            </w:tcBorders>
            <w:shd w:val="clear" w:color="auto" w:fill="auto"/>
            <w:noWrap/>
            <w:vAlign w:val="center"/>
            <w:hideMark/>
          </w:tcPr>
          <w:p w14:paraId="6899EC98"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Ln(Gamma) for Log-logistic estimate</w:t>
            </w:r>
          </w:p>
        </w:tc>
        <w:tc>
          <w:tcPr>
            <w:tcW w:w="914" w:type="dxa"/>
            <w:tcBorders>
              <w:top w:val="nil"/>
              <w:left w:val="nil"/>
              <w:bottom w:val="nil"/>
              <w:right w:val="nil"/>
            </w:tcBorders>
            <w:shd w:val="clear" w:color="auto" w:fill="auto"/>
            <w:noWrap/>
            <w:vAlign w:val="center"/>
            <w:hideMark/>
          </w:tcPr>
          <w:p w14:paraId="7416690C" w14:textId="77777777" w:rsidR="00204055" w:rsidRPr="00E81CC3" w:rsidRDefault="00204055" w:rsidP="000D1E0B">
            <w:pPr>
              <w:spacing w:after="0" w:line="240" w:lineRule="auto"/>
              <w:rPr>
                <w:rFonts w:ascii="Garamond" w:eastAsia="Times New Roman" w:hAnsi="Garamond" w:cs="Times New Roman"/>
                <w:color w:val="000000"/>
                <w:sz w:val="14"/>
                <w:szCs w:val="16"/>
              </w:rPr>
            </w:pPr>
          </w:p>
        </w:tc>
        <w:tc>
          <w:tcPr>
            <w:tcW w:w="0" w:type="auto"/>
            <w:tcBorders>
              <w:top w:val="nil"/>
              <w:left w:val="nil"/>
              <w:bottom w:val="nil"/>
              <w:right w:val="nil"/>
            </w:tcBorders>
            <w:shd w:val="clear" w:color="auto" w:fill="auto"/>
            <w:noWrap/>
            <w:vAlign w:val="center"/>
            <w:hideMark/>
          </w:tcPr>
          <w:p w14:paraId="1AC8DC6F"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26BD5788"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48D3C1A4"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-1.592***</w:t>
            </w:r>
          </w:p>
        </w:tc>
        <w:tc>
          <w:tcPr>
            <w:tcW w:w="0" w:type="auto"/>
            <w:tcBorders>
              <w:top w:val="nil"/>
              <w:left w:val="nil"/>
              <w:bottom w:val="nil"/>
              <w:right w:val="nil"/>
            </w:tcBorders>
            <w:shd w:val="clear" w:color="auto" w:fill="auto"/>
            <w:noWrap/>
            <w:vAlign w:val="center"/>
            <w:hideMark/>
          </w:tcPr>
          <w:p w14:paraId="7EB8841F"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p>
        </w:tc>
        <w:tc>
          <w:tcPr>
            <w:tcW w:w="0" w:type="auto"/>
            <w:tcBorders>
              <w:top w:val="nil"/>
              <w:left w:val="nil"/>
              <w:bottom w:val="nil"/>
              <w:right w:val="nil"/>
            </w:tcBorders>
            <w:shd w:val="clear" w:color="auto" w:fill="auto"/>
            <w:noWrap/>
            <w:vAlign w:val="center"/>
            <w:hideMark/>
          </w:tcPr>
          <w:p w14:paraId="07B18769"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 </w:t>
            </w:r>
          </w:p>
        </w:tc>
      </w:tr>
      <w:tr w:rsidR="00204055" w:rsidRPr="00E81CC3" w14:paraId="3D3A63FE" w14:textId="77777777" w:rsidTr="00DE3A10">
        <w:trPr>
          <w:trHeight w:val="20"/>
          <w:jc w:val="center"/>
        </w:trPr>
        <w:tc>
          <w:tcPr>
            <w:tcW w:w="0" w:type="auto"/>
            <w:tcBorders>
              <w:top w:val="nil"/>
              <w:left w:val="nil"/>
              <w:bottom w:val="nil"/>
              <w:right w:val="nil"/>
            </w:tcBorders>
            <w:shd w:val="clear" w:color="auto" w:fill="auto"/>
            <w:noWrap/>
            <w:vAlign w:val="center"/>
            <w:hideMark/>
          </w:tcPr>
          <w:p w14:paraId="0117F667"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Gamma for </w:t>
            </w:r>
            <w:proofErr w:type="spellStart"/>
            <w:r w:rsidRPr="00E81CC3">
              <w:rPr>
                <w:rFonts w:ascii="Garamond" w:eastAsia="Times New Roman" w:hAnsi="Garamond" w:cs="Times New Roman"/>
                <w:color w:val="000000"/>
                <w:sz w:val="14"/>
                <w:szCs w:val="16"/>
              </w:rPr>
              <w:t>Gompertz</w:t>
            </w:r>
            <w:proofErr w:type="spellEnd"/>
            <w:r w:rsidRPr="00E81CC3">
              <w:rPr>
                <w:rFonts w:ascii="Garamond" w:eastAsia="Times New Roman" w:hAnsi="Garamond" w:cs="Times New Roman"/>
                <w:color w:val="000000"/>
                <w:sz w:val="14"/>
                <w:szCs w:val="16"/>
              </w:rPr>
              <w:t xml:space="preserve"> estimates</w:t>
            </w:r>
          </w:p>
        </w:tc>
        <w:tc>
          <w:tcPr>
            <w:tcW w:w="914" w:type="dxa"/>
            <w:tcBorders>
              <w:top w:val="nil"/>
              <w:left w:val="nil"/>
              <w:bottom w:val="nil"/>
              <w:right w:val="nil"/>
            </w:tcBorders>
            <w:shd w:val="clear" w:color="auto" w:fill="auto"/>
            <w:noWrap/>
            <w:vAlign w:val="center"/>
            <w:hideMark/>
          </w:tcPr>
          <w:p w14:paraId="0F5485D8" w14:textId="77777777" w:rsidR="00204055" w:rsidRPr="00E81CC3" w:rsidRDefault="00204055" w:rsidP="000D1E0B">
            <w:pPr>
              <w:spacing w:after="0" w:line="240" w:lineRule="auto"/>
              <w:rPr>
                <w:rFonts w:ascii="Garamond" w:eastAsia="Times New Roman" w:hAnsi="Garamond" w:cs="Times New Roman"/>
                <w:color w:val="000000"/>
                <w:sz w:val="14"/>
                <w:szCs w:val="16"/>
              </w:rPr>
            </w:pPr>
          </w:p>
        </w:tc>
        <w:tc>
          <w:tcPr>
            <w:tcW w:w="0" w:type="auto"/>
            <w:tcBorders>
              <w:top w:val="nil"/>
              <w:left w:val="nil"/>
              <w:bottom w:val="nil"/>
              <w:right w:val="nil"/>
            </w:tcBorders>
            <w:shd w:val="clear" w:color="auto" w:fill="auto"/>
            <w:noWrap/>
            <w:vAlign w:val="center"/>
            <w:hideMark/>
          </w:tcPr>
          <w:p w14:paraId="389F5A54"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545929F5"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7BAB91A3"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7FFF2128"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0.005***</w:t>
            </w:r>
          </w:p>
        </w:tc>
        <w:tc>
          <w:tcPr>
            <w:tcW w:w="0" w:type="auto"/>
            <w:tcBorders>
              <w:top w:val="nil"/>
              <w:left w:val="nil"/>
              <w:bottom w:val="nil"/>
              <w:right w:val="nil"/>
            </w:tcBorders>
            <w:shd w:val="clear" w:color="auto" w:fill="auto"/>
            <w:noWrap/>
            <w:vAlign w:val="center"/>
            <w:hideMark/>
          </w:tcPr>
          <w:p w14:paraId="79A800FA"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 </w:t>
            </w:r>
          </w:p>
        </w:tc>
      </w:tr>
      <w:tr w:rsidR="00204055" w:rsidRPr="00E81CC3" w14:paraId="7E365B8B" w14:textId="77777777" w:rsidTr="00DE3A10">
        <w:trPr>
          <w:trHeight w:val="20"/>
          <w:jc w:val="center"/>
        </w:trPr>
        <w:tc>
          <w:tcPr>
            <w:tcW w:w="0" w:type="auto"/>
            <w:tcBorders>
              <w:top w:val="nil"/>
              <w:left w:val="nil"/>
              <w:bottom w:val="nil"/>
              <w:right w:val="nil"/>
            </w:tcBorders>
            <w:shd w:val="clear" w:color="auto" w:fill="auto"/>
            <w:noWrap/>
            <w:vAlign w:val="center"/>
            <w:hideMark/>
          </w:tcPr>
          <w:p w14:paraId="041AD3C7"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Kappa for Gamma estimate</w:t>
            </w:r>
          </w:p>
        </w:tc>
        <w:tc>
          <w:tcPr>
            <w:tcW w:w="914" w:type="dxa"/>
            <w:tcBorders>
              <w:top w:val="nil"/>
              <w:left w:val="nil"/>
              <w:bottom w:val="nil"/>
              <w:right w:val="nil"/>
            </w:tcBorders>
            <w:shd w:val="clear" w:color="auto" w:fill="auto"/>
            <w:noWrap/>
            <w:vAlign w:val="center"/>
            <w:hideMark/>
          </w:tcPr>
          <w:p w14:paraId="143B3E3B" w14:textId="77777777" w:rsidR="00204055" w:rsidRPr="00E81CC3" w:rsidRDefault="00204055" w:rsidP="000D1E0B">
            <w:pPr>
              <w:spacing w:after="0" w:line="240" w:lineRule="auto"/>
              <w:rPr>
                <w:rFonts w:ascii="Garamond" w:eastAsia="Times New Roman" w:hAnsi="Garamond" w:cs="Times New Roman"/>
                <w:color w:val="000000"/>
                <w:sz w:val="14"/>
                <w:szCs w:val="16"/>
              </w:rPr>
            </w:pPr>
          </w:p>
        </w:tc>
        <w:tc>
          <w:tcPr>
            <w:tcW w:w="0" w:type="auto"/>
            <w:tcBorders>
              <w:top w:val="nil"/>
              <w:left w:val="nil"/>
              <w:bottom w:val="nil"/>
              <w:right w:val="nil"/>
            </w:tcBorders>
            <w:shd w:val="clear" w:color="auto" w:fill="auto"/>
            <w:noWrap/>
            <w:vAlign w:val="center"/>
            <w:hideMark/>
          </w:tcPr>
          <w:p w14:paraId="3FCF151B"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06698514"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192302B2"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6F2B2381" w14:textId="77777777" w:rsidR="00204055" w:rsidRPr="00E81CC3" w:rsidRDefault="00204055" w:rsidP="000D1E0B">
            <w:pPr>
              <w:spacing w:after="0" w:line="240" w:lineRule="auto"/>
              <w:jc w:val="center"/>
              <w:rPr>
                <w:rFonts w:ascii="Garamond" w:eastAsia="Times New Roman" w:hAnsi="Garamond" w:cs="Times New Roman"/>
                <w:sz w:val="14"/>
                <w:szCs w:val="20"/>
              </w:rPr>
            </w:pPr>
          </w:p>
        </w:tc>
        <w:tc>
          <w:tcPr>
            <w:tcW w:w="0" w:type="auto"/>
            <w:tcBorders>
              <w:top w:val="nil"/>
              <w:left w:val="nil"/>
              <w:bottom w:val="nil"/>
              <w:right w:val="nil"/>
            </w:tcBorders>
            <w:shd w:val="clear" w:color="auto" w:fill="auto"/>
            <w:noWrap/>
            <w:vAlign w:val="center"/>
            <w:hideMark/>
          </w:tcPr>
          <w:p w14:paraId="64FDF895"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0.043</w:t>
            </w:r>
          </w:p>
        </w:tc>
      </w:tr>
      <w:tr w:rsidR="00204055" w:rsidRPr="00E81CC3" w14:paraId="531A0B7A" w14:textId="77777777" w:rsidTr="00DE3A10">
        <w:trPr>
          <w:trHeight w:val="20"/>
          <w:jc w:val="center"/>
        </w:trPr>
        <w:tc>
          <w:tcPr>
            <w:tcW w:w="0" w:type="auto"/>
            <w:tcBorders>
              <w:top w:val="nil"/>
              <w:left w:val="nil"/>
              <w:bottom w:val="single" w:sz="8" w:space="0" w:color="auto"/>
              <w:right w:val="nil"/>
            </w:tcBorders>
            <w:shd w:val="clear" w:color="auto" w:fill="auto"/>
            <w:noWrap/>
            <w:vAlign w:val="center"/>
            <w:hideMark/>
          </w:tcPr>
          <w:p w14:paraId="0662E786"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w:t>
            </w:r>
          </w:p>
        </w:tc>
        <w:tc>
          <w:tcPr>
            <w:tcW w:w="914" w:type="dxa"/>
            <w:tcBorders>
              <w:top w:val="nil"/>
              <w:left w:val="nil"/>
              <w:bottom w:val="single" w:sz="8" w:space="0" w:color="auto"/>
              <w:right w:val="nil"/>
            </w:tcBorders>
            <w:shd w:val="clear" w:color="auto" w:fill="auto"/>
            <w:noWrap/>
            <w:vAlign w:val="center"/>
            <w:hideMark/>
          </w:tcPr>
          <w:p w14:paraId="1B58B542"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w:t>
            </w:r>
          </w:p>
        </w:tc>
        <w:tc>
          <w:tcPr>
            <w:tcW w:w="0" w:type="auto"/>
            <w:tcBorders>
              <w:top w:val="nil"/>
              <w:left w:val="nil"/>
              <w:bottom w:val="single" w:sz="8" w:space="0" w:color="auto"/>
              <w:right w:val="nil"/>
            </w:tcBorders>
            <w:shd w:val="clear" w:color="auto" w:fill="auto"/>
            <w:noWrap/>
            <w:vAlign w:val="center"/>
            <w:hideMark/>
          </w:tcPr>
          <w:p w14:paraId="352E5395"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w:t>
            </w:r>
          </w:p>
        </w:tc>
        <w:tc>
          <w:tcPr>
            <w:tcW w:w="0" w:type="auto"/>
            <w:tcBorders>
              <w:top w:val="nil"/>
              <w:left w:val="nil"/>
              <w:bottom w:val="single" w:sz="8" w:space="0" w:color="auto"/>
              <w:right w:val="nil"/>
            </w:tcBorders>
            <w:shd w:val="clear" w:color="auto" w:fill="auto"/>
            <w:noWrap/>
            <w:vAlign w:val="center"/>
            <w:hideMark/>
          </w:tcPr>
          <w:p w14:paraId="4D495438"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w:t>
            </w:r>
          </w:p>
        </w:tc>
        <w:tc>
          <w:tcPr>
            <w:tcW w:w="0" w:type="auto"/>
            <w:tcBorders>
              <w:top w:val="nil"/>
              <w:left w:val="nil"/>
              <w:bottom w:val="single" w:sz="8" w:space="0" w:color="auto"/>
              <w:right w:val="nil"/>
            </w:tcBorders>
            <w:shd w:val="clear" w:color="auto" w:fill="auto"/>
            <w:noWrap/>
            <w:vAlign w:val="center"/>
            <w:hideMark/>
          </w:tcPr>
          <w:p w14:paraId="1130C110"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w:t>
            </w:r>
          </w:p>
        </w:tc>
        <w:tc>
          <w:tcPr>
            <w:tcW w:w="0" w:type="auto"/>
            <w:tcBorders>
              <w:top w:val="nil"/>
              <w:left w:val="nil"/>
              <w:bottom w:val="single" w:sz="8" w:space="0" w:color="auto"/>
              <w:right w:val="nil"/>
            </w:tcBorders>
            <w:shd w:val="clear" w:color="auto" w:fill="auto"/>
            <w:noWrap/>
            <w:vAlign w:val="center"/>
            <w:hideMark/>
          </w:tcPr>
          <w:p w14:paraId="166B38B0"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w:t>
            </w:r>
          </w:p>
        </w:tc>
        <w:tc>
          <w:tcPr>
            <w:tcW w:w="0" w:type="auto"/>
            <w:tcBorders>
              <w:top w:val="nil"/>
              <w:left w:val="nil"/>
              <w:bottom w:val="single" w:sz="8" w:space="0" w:color="auto"/>
              <w:right w:val="nil"/>
            </w:tcBorders>
            <w:shd w:val="clear" w:color="auto" w:fill="auto"/>
            <w:noWrap/>
            <w:vAlign w:val="center"/>
            <w:hideMark/>
          </w:tcPr>
          <w:p w14:paraId="2A6A826B"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w:t>
            </w:r>
          </w:p>
        </w:tc>
      </w:tr>
      <w:tr w:rsidR="00204055" w:rsidRPr="00E81CC3" w14:paraId="5B7FED62" w14:textId="77777777" w:rsidTr="00DE3A10">
        <w:trPr>
          <w:trHeight w:val="20"/>
          <w:jc w:val="center"/>
        </w:trPr>
        <w:tc>
          <w:tcPr>
            <w:tcW w:w="0" w:type="auto"/>
            <w:tcBorders>
              <w:top w:val="nil"/>
              <w:left w:val="nil"/>
              <w:bottom w:val="nil"/>
              <w:right w:val="nil"/>
            </w:tcBorders>
            <w:shd w:val="clear" w:color="auto" w:fill="auto"/>
            <w:noWrap/>
            <w:vAlign w:val="center"/>
            <w:hideMark/>
          </w:tcPr>
          <w:p w14:paraId="29372189"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lastRenderedPageBreak/>
              <w:t>Observations</w:t>
            </w:r>
          </w:p>
        </w:tc>
        <w:tc>
          <w:tcPr>
            <w:tcW w:w="914" w:type="dxa"/>
            <w:tcBorders>
              <w:top w:val="nil"/>
              <w:left w:val="nil"/>
              <w:bottom w:val="nil"/>
              <w:right w:val="nil"/>
            </w:tcBorders>
            <w:shd w:val="clear" w:color="auto" w:fill="auto"/>
            <w:noWrap/>
            <w:vAlign w:val="center"/>
            <w:hideMark/>
          </w:tcPr>
          <w:p w14:paraId="430E52EB"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 1,134 </w:t>
            </w:r>
          </w:p>
        </w:tc>
        <w:tc>
          <w:tcPr>
            <w:tcW w:w="0" w:type="auto"/>
            <w:tcBorders>
              <w:top w:val="nil"/>
              <w:left w:val="nil"/>
              <w:bottom w:val="nil"/>
              <w:right w:val="nil"/>
            </w:tcBorders>
            <w:shd w:val="clear" w:color="auto" w:fill="auto"/>
            <w:noWrap/>
            <w:vAlign w:val="center"/>
            <w:hideMark/>
          </w:tcPr>
          <w:p w14:paraId="178FEC85"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 1,134 </w:t>
            </w:r>
          </w:p>
        </w:tc>
        <w:tc>
          <w:tcPr>
            <w:tcW w:w="0" w:type="auto"/>
            <w:tcBorders>
              <w:top w:val="nil"/>
              <w:left w:val="nil"/>
              <w:bottom w:val="nil"/>
              <w:right w:val="nil"/>
            </w:tcBorders>
            <w:shd w:val="clear" w:color="auto" w:fill="auto"/>
            <w:noWrap/>
            <w:vAlign w:val="center"/>
            <w:hideMark/>
          </w:tcPr>
          <w:p w14:paraId="07717A6B"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 1,134 </w:t>
            </w:r>
          </w:p>
        </w:tc>
        <w:tc>
          <w:tcPr>
            <w:tcW w:w="0" w:type="auto"/>
            <w:tcBorders>
              <w:top w:val="nil"/>
              <w:left w:val="nil"/>
              <w:bottom w:val="nil"/>
              <w:right w:val="nil"/>
            </w:tcBorders>
            <w:shd w:val="clear" w:color="auto" w:fill="auto"/>
            <w:noWrap/>
            <w:vAlign w:val="center"/>
            <w:hideMark/>
          </w:tcPr>
          <w:p w14:paraId="27721504"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 1,134 </w:t>
            </w:r>
          </w:p>
        </w:tc>
        <w:tc>
          <w:tcPr>
            <w:tcW w:w="0" w:type="auto"/>
            <w:tcBorders>
              <w:top w:val="nil"/>
              <w:left w:val="nil"/>
              <w:bottom w:val="nil"/>
              <w:right w:val="nil"/>
            </w:tcBorders>
            <w:shd w:val="clear" w:color="auto" w:fill="auto"/>
            <w:noWrap/>
            <w:vAlign w:val="center"/>
            <w:hideMark/>
          </w:tcPr>
          <w:p w14:paraId="5E9D127E"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 1,134 </w:t>
            </w:r>
          </w:p>
        </w:tc>
        <w:tc>
          <w:tcPr>
            <w:tcW w:w="0" w:type="auto"/>
            <w:tcBorders>
              <w:top w:val="nil"/>
              <w:left w:val="nil"/>
              <w:bottom w:val="nil"/>
              <w:right w:val="nil"/>
            </w:tcBorders>
            <w:shd w:val="clear" w:color="auto" w:fill="auto"/>
            <w:noWrap/>
            <w:vAlign w:val="center"/>
            <w:hideMark/>
          </w:tcPr>
          <w:p w14:paraId="4ADB5605"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xml:space="preserve"> 1,134 </w:t>
            </w:r>
          </w:p>
        </w:tc>
      </w:tr>
      <w:tr w:rsidR="00204055" w:rsidRPr="00E81CC3" w14:paraId="420B7673" w14:textId="77777777" w:rsidTr="00DE3A10">
        <w:trPr>
          <w:trHeight w:val="20"/>
          <w:jc w:val="center"/>
        </w:trPr>
        <w:tc>
          <w:tcPr>
            <w:tcW w:w="0" w:type="auto"/>
            <w:tcBorders>
              <w:top w:val="nil"/>
              <w:left w:val="nil"/>
              <w:bottom w:val="nil"/>
              <w:right w:val="nil"/>
            </w:tcBorders>
            <w:shd w:val="clear" w:color="auto" w:fill="auto"/>
            <w:noWrap/>
            <w:vAlign w:val="center"/>
            <w:hideMark/>
          </w:tcPr>
          <w:p w14:paraId="55C2B433"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Log-Likelihood</w:t>
            </w:r>
          </w:p>
        </w:tc>
        <w:tc>
          <w:tcPr>
            <w:tcW w:w="914" w:type="dxa"/>
            <w:tcBorders>
              <w:top w:val="nil"/>
              <w:left w:val="nil"/>
              <w:bottom w:val="nil"/>
              <w:right w:val="nil"/>
            </w:tcBorders>
            <w:shd w:val="clear" w:color="auto" w:fill="auto"/>
            <w:noWrap/>
            <w:vAlign w:val="center"/>
            <w:hideMark/>
          </w:tcPr>
          <w:p w14:paraId="2987DC13"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-1,207</w:t>
            </w:r>
          </w:p>
        </w:tc>
        <w:tc>
          <w:tcPr>
            <w:tcW w:w="0" w:type="auto"/>
            <w:tcBorders>
              <w:top w:val="nil"/>
              <w:left w:val="nil"/>
              <w:bottom w:val="nil"/>
              <w:right w:val="nil"/>
            </w:tcBorders>
            <w:shd w:val="clear" w:color="auto" w:fill="auto"/>
            <w:noWrap/>
            <w:vAlign w:val="center"/>
            <w:hideMark/>
          </w:tcPr>
          <w:p w14:paraId="5C128CAF"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-516</w:t>
            </w:r>
          </w:p>
        </w:tc>
        <w:tc>
          <w:tcPr>
            <w:tcW w:w="0" w:type="auto"/>
            <w:tcBorders>
              <w:top w:val="nil"/>
              <w:left w:val="nil"/>
              <w:bottom w:val="nil"/>
              <w:right w:val="nil"/>
            </w:tcBorders>
            <w:shd w:val="clear" w:color="auto" w:fill="auto"/>
            <w:noWrap/>
            <w:vAlign w:val="center"/>
            <w:hideMark/>
          </w:tcPr>
          <w:p w14:paraId="4EABEFDD"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-449</w:t>
            </w:r>
          </w:p>
        </w:tc>
        <w:tc>
          <w:tcPr>
            <w:tcW w:w="0" w:type="auto"/>
            <w:tcBorders>
              <w:top w:val="nil"/>
              <w:left w:val="nil"/>
              <w:bottom w:val="nil"/>
              <w:right w:val="nil"/>
            </w:tcBorders>
            <w:shd w:val="clear" w:color="auto" w:fill="auto"/>
            <w:noWrap/>
            <w:vAlign w:val="center"/>
            <w:hideMark/>
          </w:tcPr>
          <w:p w14:paraId="351DC668"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-454</w:t>
            </w:r>
          </w:p>
        </w:tc>
        <w:tc>
          <w:tcPr>
            <w:tcW w:w="0" w:type="auto"/>
            <w:tcBorders>
              <w:top w:val="nil"/>
              <w:left w:val="nil"/>
              <w:bottom w:val="nil"/>
              <w:right w:val="nil"/>
            </w:tcBorders>
            <w:shd w:val="clear" w:color="auto" w:fill="auto"/>
            <w:noWrap/>
            <w:vAlign w:val="center"/>
            <w:hideMark/>
          </w:tcPr>
          <w:p w14:paraId="52514472"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-800</w:t>
            </w:r>
          </w:p>
        </w:tc>
        <w:tc>
          <w:tcPr>
            <w:tcW w:w="0" w:type="auto"/>
            <w:tcBorders>
              <w:top w:val="nil"/>
              <w:left w:val="nil"/>
              <w:bottom w:val="nil"/>
              <w:right w:val="nil"/>
            </w:tcBorders>
            <w:shd w:val="clear" w:color="auto" w:fill="auto"/>
            <w:noWrap/>
            <w:vAlign w:val="center"/>
            <w:hideMark/>
          </w:tcPr>
          <w:p w14:paraId="12BB99E4"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-449</w:t>
            </w:r>
          </w:p>
        </w:tc>
      </w:tr>
      <w:tr w:rsidR="00204055" w:rsidRPr="00E81CC3" w14:paraId="27E6ABDC" w14:textId="77777777" w:rsidTr="00DE3A10">
        <w:trPr>
          <w:trHeight w:val="20"/>
          <w:jc w:val="center"/>
        </w:trPr>
        <w:tc>
          <w:tcPr>
            <w:tcW w:w="0" w:type="auto"/>
            <w:tcBorders>
              <w:top w:val="nil"/>
              <w:left w:val="nil"/>
              <w:bottom w:val="nil"/>
              <w:right w:val="nil"/>
            </w:tcBorders>
            <w:shd w:val="clear" w:color="auto" w:fill="auto"/>
            <w:noWrap/>
            <w:vAlign w:val="center"/>
            <w:hideMark/>
          </w:tcPr>
          <w:p w14:paraId="4CCC0393" w14:textId="77777777" w:rsidR="00204055" w:rsidRPr="00E81CC3" w:rsidRDefault="00204055" w:rsidP="000D1E0B">
            <w:pPr>
              <w:spacing w:after="0" w:line="240" w:lineRule="auto"/>
              <w:rPr>
                <w:rFonts w:ascii="Garamond" w:eastAsia="Times New Roman" w:hAnsi="Garamond" w:cs="Times New Roman"/>
                <w:color w:val="000000"/>
                <w:sz w:val="14"/>
                <w:szCs w:val="16"/>
              </w:rPr>
            </w:pPr>
            <w:proofErr w:type="spellStart"/>
            <w:r w:rsidRPr="00E81CC3">
              <w:rPr>
                <w:rFonts w:ascii="Garamond" w:eastAsia="Times New Roman" w:hAnsi="Garamond" w:cs="Times New Roman"/>
                <w:color w:val="000000"/>
                <w:sz w:val="14"/>
                <w:szCs w:val="16"/>
              </w:rPr>
              <w:t>Akaike</w:t>
            </w:r>
            <w:proofErr w:type="spellEnd"/>
            <w:r w:rsidRPr="00E81CC3">
              <w:rPr>
                <w:rFonts w:ascii="Garamond" w:eastAsia="Times New Roman" w:hAnsi="Garamond" w:cs="Times New Roman"/>
                <w:color w:val="000000"/>
                <w:sz w:val="14"/>
                <w:szCs w:val="16"/>
              </w:rPr>
              <w:t xml:space="preserve"> Information Criteria (AIC)</w:t>
            </w:r>
          </w:p>
        </w:tc>
        <w:tc>
          <w:tcPr>
            <w:tcW w:w="914" w:type="dxa"/>
            <w:tcBorders>
              <w:top w:val="nil"/>
              <w:left w:val="nil"/>
              <w:bottom w:val="nil"/>
              <w:right w:val="nil"/>
            </w:tcBorders>
            <w:shd w:val="clear" w:color="auto" w:fill="auto"/>
            <w:noWrap/>
            <w:vAlign w:val="center"/>
            <w:hideMark/>
          </w:tcPr>
          <w:p w14:paraId="49B20A86"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2,451</w:t>
            </w:r>
          </w:p>
        </w:tc>
        <w:tc>
          <w:tcPr>
            <w:tcW w:w="0" w:type="auto"/>
            <w:tcBorders>
              <w:top w:val="nil"/>
              <w:left w:val="nil"/>
              <w:bottom w:val="nil"/>
              <w:right w:val="nil"/>
            </w:tcBorders>
            <w:shd w:val="clear" w:color="auto" w:fill="auto"/>
            <w:noWrap/>
            <w:vAlign w:val="center"/>
            <w:hideMark/>
          </w:tcPr>
          <w:p w14:paraId="4E4A94A4"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1,071</w:t>
            </w:r>
          </w:p>
        </w:tc>
        <w:tc>
          <w:tcPr>
            <w:tcW w:w="0" w:type="auto"/>
            <w:tcBorders>
              <w:top w:val="nil"/>
              <w:left w:val="nil"/>
              <w:bottom w:val="nil"/>
              <w:right w:val="nil"/>
            </w:tcBorders>
            <w:shd w:val="clear" w:color="auto" w:fill="auto"/>
            <w:noWrap/>
            <w:vAlign w:val="center"/>
            <w:hideMark/>
          </w:tcPr>
          <w:p w14:paraId="1E3528E1"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939</w:t>
            </w:r>
          </w:p>
        </w:tc>
        <w:tc>
          <w:tcPr>
            <w:tcW w:w="0" w:type="auto"/>
            <w:tcBorders>
              <w:top w:val="nil"/>
              <w:left w:val="nil"/>
              <w:bottom w:val="nil"/>
              <w:right w:val="nil"/>
            </w:tcBorders>
            <w:shd w:val="clear" w:color="auto" w:fill="auto"/>
            <w:noWrap/>
            <w:vAlign w:val="center"/>
            <w:hideMark/>
          </w:tcPr>
          <w:p w14:paraId="786DF648"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948</w:t>
            </w:r>
          </w:p>
        </w:tc>
        <w:tc>
          <w:tcPr>
            <w:tcW w:w="0" w:type="auto"/>
            <w:tcBorders>
              <w:top w:val="nil"/>
              <w:left w:val="nil"/>
              <w:bottom w:val="nil"/>
              <w:right w:val="nil"/>
            </w:tcBorders>
            <w:shd w:val="clear" w:color="auto" w:fill="auto"/>
            <w:noWrap/>
            <w:vAlign w:val="center"/>
            <w:hideMark/>
          </w:tcPr>
          <w:p w14:paraId="2D8E315A"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1,640</w:t>
            </w:r>
          </w:p>
        </w:tc>
        <w:tc>
          <w:tcPr>
            <w:tcW w:w="0" w:type="auto"/>
            <w:tcBorders>
              <w:top w:val="nil"/>
              <w:left w:val="nil"/>
              <w:bottom w:val="nil"/>
              <w:right w:val="nil"/>
            </w:tcBorders>
            <w:shd w:val="clear" w:color="auto" w:fill="auto"/>
            <w:noWrap/>
            <w:vAlign w:val="center"/>
            <w:hideMark/>
          </w:tcPr>
          <w:p w14:paraId="430813A6"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940</w:t>
            </w:r>
          </w:p>
        </w:tc>
      </w:tr>
      <w:tr w:rsidR="00204055" w:rsidRPr="00E81CC3" w14:paraId="416F8927" w14:textId="77777777" w:rsidTr="00DE3A10">
        <w:trPr>
          <w:trHeight w:val="20"/>
          <w:jc w:val="center"/>
        </w:trPr>
        <w:tc>
          <w:tcPr>
            <w:tcW w:w="0" w:type="auto"/>
            <w:tcBorders>
              <w:top w:val="nil"/>
              <w:left w:val="nil"/>
              <w:bottom w:val="nil"/>
              <w:right w:val="nil"/>
            </w:tcBorders>
            <w:shd w:val="clear" w:color="auto" w:fill="auto"/>
            <w:noWrap/>
            <w:vAlign w:val="center"/>
            <w:hideMark/>
          </w:tcPr>
          <w:p w14:paraId="575BE79E"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Bayesian Information Criteria (BIC)</w:t>
            </w:r>
          </w:p>
        </w:tc>
        <w:tc>
          <w:tcPr>
            <w:tcW w:w="914" w:type="dxa"/>
            <w:tcBorders>
              <w:top w:val="nil"/>
              <w:left w:val="nil"/>
              <w:bottom w:val="single" w:sz="8" w:space="0" w:color="auto"/>
              <w:right w:val="nil"/>
            </w:tcBorders>
            <w:shd w:val="clear" w:color="auto" w:fill="auto"/>
            <w:noWrap/>
            <w:vAlign w:val="center"/>
            <w:hideMark/>
          </w:tcPr>
          <w:p w14:paraId="7BD18A49"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2,547</w:t>
            </w:r>
          </w:p>
        </w:tc>
        <w:tc>
          <w:tcPr>
            <w:tcW w:w="0" w:type="auto"/>
            <w:tcBorders>
              <w:top w:val="nil"/>
              <w:left w:val="nil"/>
              <w:bottom w:val="single" w:sz="8" w:space="0" w:color="auto"/>
              <w:right w:val="nil"/>
            </w:tcBorders>
            <w:shd w:val="clear" w:color="auto" w:fill="auto"/>
            <w:noWrap/>
            <w:vAlign w:val="center"/>
            <w:hideMark/>
          </w:tcPr>
          <w:p w14:paraId="30B31652"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1,172</w:t>
            </w:r>
          </w:p>
        </w:tc>
        <w:tc>
          <w:tcPr>
            <w:tcW w:w="0" w:type="auto"/>
            <w:tcBorders>
              <w:top w:val="nil"/>
              <w:left w:val="nil"/>
              <w:bottom w:val="single" w:sz="8" w:space="0" w:color="auto"/>
              <w:right w:val="nil"/>
            </w:tcBorders>
            <w:shd w:val="clear" w:color="auto" w:fill="auto"/>
            <w:noWrap/>
            <w:vAlign w:val="center"/>
            <w:hideMark/>
          </w:tcPr>
          <w:p w14:paraId="616C0EBF"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1,039</w:t>
            </w:r>
          </w:p>
        </w:tc>
        <w:tc>
          <w:tcPr>
            <w:tcW w:w="0" w:type="auto"/>
            <w:tcBorders>
              <w:top w:val="nil"/>
              <w:left w:val="nil"/>
              <w:bottom w:val="single" w:sz="8" w:space="0" w:color="auto"/>
              <w:right w:val="nil"/>
            </w:tcBorders>
            <w:shd w:val="clear" w:color="auto" w:fill="auto"/>
            <w:noWrap/>
            <w:vAlign w:val="center"/>
            <w:hideMark/>
          </w:tcPr>
          <w:p w14:paraId="097E8FC1"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1,049</w:t>
            </w:r>
          </w:p>
        </w:tc>
        <w:tc>
          <w:tcPr>
            <w:tcW w:w="0" w:type="auto"/>
            <w:tcBorders>
              <w:top w:val="nil"/>
              <w:left w:val="nil"/>
              <w:bottom w:val="single" w:sz="8" w:space="0" w:color="auto"/>
              <w:right w:val="nil"/>
            </w:tcBorders>
            <w:shd w:val="clear" w:color="auto" w:fill="auto"/>
            <w:noWrap/>
            <w:vAlign w:val="center"/>
            <w:hideMark/>
          </w:tcPr>
          <w:p w14:paraId="575D94D6"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1,740</w:t>
            </w:r>
          </w:p>
        </w:tc>
        <w:tc>
          <w:tcPr>
            <w:tcW w:w="0" w:type="auto"/>
            <w:tcBorders>
              <w:top w:val="nil"/>
              <w:left w:val="nil"/>
              <w:bottom w:val="single" w:sz="8" w:space="0" w:color="auto"/>
              <w:right w:val="nil"/>
            </w:tcBorders>
            <w:shd w:val="clear" w:color="auto" w:fill="auto"/>
            <w:noWrap/>
            <w:vAlign w:val="center"/>
            <w:hideMark/>
          </w:tcPr>
          <w:p w14:paraId="3C23B8A6" w14:textId="77777777" w:rsidR="00204055" w:rsidRPr="00E81CC3" w:rsidRDefault="00204055" w:rsidP="000D1E0B">
            <w:pPr>
              <w:spacing w:after="0" w:line="240" w:lineRule="auto"/>
              <w:jc w:val="right"/>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1,046</w:t>
            </w:r>
          </w:p>
        </w:tc>
      </w:tr>
      <w:tr w:rsidR="00204055" w:rsidRPr="00E81CC3" w14:paraId="6C416610" w14:textId="77777777" w:rsidTr="00DE3A10">
        <w:trPr>
          <w:trHeight w:val="20"/>
          <w:jc w:val="center"/>
        </w:trPr>
        <w:tc>
          <w:tcPr>
            <w:tcW w:w="0" w:type="auto"/>
            <w:vMerge w:val="restart"/>
            <w:tcBorders>
              <w:top w:val="single" w:sz="8" w:space="0" w:color="auto"/>
              <w:left w:val="nil"/>
              <w:bottom w:val="nil"/>
              <w:right w:val="nil"/>
            </w:tcBorders>
            <w:shd w:val="clear" w:color="auto" w:fill="auto"/>
            <w:noWrap/>
            <w:vAlign w:val="center"/>
            <w:hideMark/>
          </w:tcPr>
          <w:p w14:paraId="6EED76A1" w14:textId="77777777" w:rsidR="00204055" w:rsidRPr="00E81CC3" w:rsidRDefault="00204055" w:rsidP="000D1E0B">
            <w:pPr>
              <w:spacing w:after="0" w:line="240" w:lineRule="auto"/>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 </w:t>
            </w:r>
          </w:p>
        </w:tc>
        <w:tc>
          <w:tcPr>
            <w:tcW w:w="4776" w:type="dxa"/>
            <w:gridSpan w:val="6"/>
            <w:tcBorders>
              <w:top w:val="single" w:sz="8" w:space="0" w:color="auto"/>
              <w:left w:val="nil"/>
              <w:bottom w:val="nil"/>
              <w:right w:val="nil"/>
            </w:tcBorders>
            <w:shd w:val="clear" w:color="auto" w:fill="auto"/>
            <w:noWrap/>
            <w:vAlign w:val="center"/>
            <w:hideMark/>
          </w:tcPr>
          <w:p w14:paraId="26ECFA0C"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Robust standard errors</w:t>
            </w:r>
          </w:p>
        </w:tc>
      </w:tr>
      <w:tr w:rsidR="00204055" w:rsidRPr="00E81CC3" w14:paraId="71419B86" w14:textId="77777777" w:rsidTr="00DE3A10">
        <w:trPr>
          <w:trHeight w:val="20"/>
          <w:jc w:val="center"/>
        </w:trPr>
        <w:tc>
          <w:tcPr>
            <w:tcW w:w="0" w:type="auto"/>
            <w:vMerge/>
            <w:tcBorders>
              <w:top w:val="single" w:sz="8" w:space="0" w:color="auto"/>
              <w:left w:val="nil"/>
              <w:bottom w:val="nil"/>
              <w:right w:val="nil"/>
            </w:tcBorders>
            <w:vAlign w:val="center"/>
            <w:hideMark/>
          </w:tcPr>
          <w:p w14:paraId="23F56D80" w14:textId="77777777" w:rsidR="00204055" w:rsidRPr="00E81CC3" w:rsidRDefault="00204055" w:rsidP="000D1E0B">
            <w:pPr>
              <w:spacing w:after="0" w:line="240" w:lineRule="auto"/>
              <w:rPr>
                <w:rFonts w:ascii="Garamond" w:eastAsia="Times New Roman" w:hAnsi="Garamond" w:cs="Times New Roman"/>
                <w:color w:val="000000"/>
                <w:sz w:val="14"/>
                <w:szCs w:val="16"/>
              </w:rPr>
            </w:pPr>
          </w:p>
        </w:tc>
        <w:tc>
          <w:tcPr>
            <w:tcW w:w="4776" w:type="dxa"/>
            <w:gridSpan w:val="6"/>
            <w:tcBorders>
              <w:top w:val="nil"/>
              <w:left w:val="nil"/>
              <w:bottom w:val="nil"/>
              <w:right w:val="nil"/>
            </w:tcBorders>
            <w:shd w:val="clear" w:color="auto" w:fill="auto"/>
            <w:noWrap/>
            <w:vAlign w:val="center"/>
            <w:hideMark/>
          </w:tcPr>
          <w:p w14:paraId="19767A61" w14:textId="77777777" w:rsidR="00204055" w:rsidRPr="00E81CC3" w:rsidRDefault="00204055" w:rsidP="000D1E0B">
            <w:pPr>
              <w:spacing w:after="0" w:line="240" w:lineRule="auto"/>
              <w:jc w:val="center"/>
              <w:rPr>
                <w:rFonts w:ascii="Garamond" w:eastAsia="Times New Roman" w:hAnsi="Garamond" w:cs="Times New Roman"/>
                <w:color w:val="000000"/>
                <w:sz w:val="14"/>
                <w:szCs w:val="16"/>
              </w:rPr>
            </w:pPr>
            <w:r w:rsidRPr="00E81CC3">
              <w:rPr>
                <w:rFonts w:ascii="Garamond" w:eastAsia="Times New Roman" w:hAnsi="Garamond" w:cs="Times New Roman"/>
                <w:color w:val="000000"/>
                <w:sz w:val="14"/>
                <w:szCs w:val="16"/>
              </w:rPr>
              <w:t>Legend: * p&lt;0.1; ** p&lt;0.05; *** p&lt;0.01</w:t>
            </w:r>
          </w:p>
        </w:tc>
      </w:tr>
    </w:tbl>
    <w:p w14:paraId="7CF85E09" w14:textId="77777777" w:rsidR="00204055" w:rsidRDefault="00204055" w:rsidP="00085379">
      <w:pPr>
        <w:spacing w:line="480" w:lineRule="auto"/>
        <w:jc w:val="both"/>
        <w:rPr>
          <w:rFonts w:ascii="Times New Roman" w:hAnsi="Times New Roman" w:cs="Times New Roman"/>
          <w:b/>
          <w:sz w:val="24"/>
          <w:szCs w:val="24"/>
        </w:rPr>
      </w:pPr>
    </w:p>
    <w:p w14:paraId="5F3C70EF" w14:textId="77777777" w:rsidR="00204055" w:rsidRPr="00AA6FBE" w:rsidRDefault="00204055" w:rsidP="00085379">
      <w:p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r w:rsidRPr="00AA6FBE">
        <w:rPr>
          <w:rFonts w:ascii="Times New Roman" w:hAnsi="Times New Roman" w:cs="Times New Roman"/>
          <w:b/>
          <w:sz w:val="24"/>
          <w:szCs w:val="24"/>
        </w:rPr>
        <w:t xml:space="preserve">. The effects of </w:t>
      </w:r>
      <w:proofErr w:type="spellStart"/>
      <w:r w:rsidRPr="00AA6FBE">
        <w:rPr>
          <w:rFonts w:ascii="Times New Roman" w:hAnsi="Times New Roman" w:cs="Times New Roman"/>
          <w:b/>
          <w:i/>
          <w:sz w:val="24"/>
          <w:szCs w:val="24"/>
        </w:rPr>
        <w:t>Acordada</w:t>
      </w:r>
      <w:r w:rsidRPr="00AA6FBE">
        <w:rPr>
          <w:rFonts w:ascii="Times New Roman" w:hAnsi="Times New Roman" w:cs="Times New Roman"/>
          <w:b/>
          <w:sz w:val="24"/>
          <w:szCs w:val="24"/>
        </w:rPr>
        <w:t>’s</w:t>
      </w:r>
      <w:proofErr w:type="spellEnd"/>
      <w:r w:rsidRPr="00AA6FBE">
        <w:rPr>
          <w:rFonts w:ascii="Times New Roman" w:hAnsi="Times New Roman" w:cs="Times New Roman"/>
          <w:b/>
          <w:sz w:val="24"/>
          <w:szCs w:val="24"/>
        </w:rPr>
        <w:t xml:space="preserve"> introduction on CSJN’s docket</w:t>
      </w:r>
    </w:p>
    <w:p w14:paraId="2CC56FCB" w14:textId="3324A1CE" w:rsidR="00204055" w:rsidRPr="00085379" w:rsidRDefault="00204055" w:rsidP="00085379">
      <w:pPr>
        <w:spacing w:line="480" w:lineRule="auto"/>
        <w:jc w:val="both"/>
        <w:rPr>
          <w:rFonts w:ascii="Times New Roman" w:hAnsi="Times New Roman" w:cs="Times New Roman"/>
          <w:sz w:val="24"/>
          <w:szCs w:val="24"/>
        </w:rPr>
      </w:pPr>
      <w:r w:rsidRPr="00085379">
        <w:rPr>
          <w:rFonts w:ascii="Times New Roman" w:hAnsi="Times New Roman" w:cs="Times New Roman"/>
          <w:sz w:val="24"/>
          <w:szCs w:val="24"/>
        </w:rPr>
        <w:t xml:space="preserve">Once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xml:space="preserve"> was introduced, new tasks were created within CSJN. At the same time, a number of cases were supposed to be handled much faster, given the relative simplicity of the tasks created. As a result, we expected an increase in the number of CSJN total decisions given that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xml:space="preserve"> decisions would require less CSJN involvement. Figure 1</w:t>
      </w:r>
      <w:r w:rsidR="00657730">
        <w:rPr>
          <w:rFonts w:ascii="Times New Roman" w:hAnsi="Times New Roman" w:cs="Times New Roman"/>
          <w:sz w:val="24"/>
          <w:szCs w:val="24"/>
        </w:rPr>
        <w:t>5</w:t>
      </w:r>
      <w:r w:rsidRPr="00085379">
        <w:rPr>
          <w:rFonts w:ascii="Times New Roman" w:hAnsi="Times New Roman" w:cs="Times New Roman"/>
          <w:sz w:val="24"/>
          <w:szCs w:val="24"/>
        </w:rPr>
        <w:t xml:space="preserve"> presents exploratory data on the number of cases decided by CSJN each month from January 2002 until December 2012. We do not observe an increment after the enactment of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xml:space="preserve">. The average number of cases decided each month in the year before its enactment was 1162. In the first year of </w:t>
      </w:r>
      <w:proofErr w:type="spellStart"/>
      <w:r w:rsidRPr="00085379">
        <w:rPr>
          <w:rFonts w:ascii="Times New Roman" w:hAnsi="Times New Roman" w:cs="Times New Roman"/>
          <w:i/>
          <w:sz w:val="24"/>
          <w:szCs w:val="24"/>
        </w:rPr>
        <w:t>Acodarda</w:t>
      </w:r>
      <w:r w:rsidRPr="00085379">
        <w:rPr>
          <w:rFonts w:ascii="Times New Roman" w:hAnsi="Times New Roman" w:cs="Times New Roman"/>
          <w:sz w:val="24"/>
          <w:szCs w:val="24"/>
        </w:rPr>
        <w:t>’s</w:t>
      </w:r>
      <w:proofErr w:type="spellEnd"/>
      <w:r w:rsidRPr="00085379">
        <w:rPr>
          <w:rFonts w:ascii="Times New Roman" w:hAnsi="Times New Roman" w:cs="Times New Roman"/>
          <w:sz w:val="24"/>
          <w:szCs w:val="24"/>
        </w:rPr>
        <w:t xml:space="preserve"> life, the average number of cases decided declined to 1103. </w:t>
      </w:r>
    </w:p>
    <w:p w14:paraId="2D5E98F6" w14:textId="77777777" w:rsidR="00204055" w:rsidRDefault="00204055" w:rsidP="00085379">
      <w:pPr>
        <w:spacing w:line="480" w:lineRule="auto"/>
        <w:jc w:val="both"/>
        <w:rPr>
          <w:rFonts w:ascii="Times New Roman" w:hAnsi="Times New Roman" w:cs="Times New Roman"/>
          <w:b/>
          <w:sz w:val="24"/>
          <w:szCs w:val="24"/>
        </w:rPr>
      </w:pPr>
    </w:p>
    <w:p w14:paraId="211EE385" w14:textId="77777777" w:rsidR="00204055" w:rsidRPr="00623015" w:rsidRDefault="00204055" w:rsidP="00D16397">
      <w:pPr>
        <w:spacing w:line="480" w:lineRule="auto"/>
        <w:jc w:val="both"/>
        <w:rPr>
          <w:rFonts w:ascii="Times New Roman" w:hAnsi="Times New Roman" w:cs="Times New Roman"/>
          <w:b/>
          <w:sz w:val="20"/>
          <w:szCs w:val="20"/>
        </w:rPr>
      </w:pPr>
      <w:r w:rsidRPr="00623015">
        <w:rPr>
          <w:rFonts w:ascii="Times New Roman" w:hAnsi="Times New Roman" w:cs="Times New Roman"/>
          <w:b/>
          <w:sz w:val="20"/>
          <w:szCs w:val="20"/>
        </w:rPr>
        <w:t>Figure 15: Cases decided per month in the period 2003-12</w:t>
      </w:r>
    </w:p>
    <w:p w14:paraId="390B2A1A" w14:textId="77777777" w:rsidR="00204055" w:rsidRPr="00085379" w:rsidRDefault="00204055" w:rsidP="00D16397">
      <w:pPr>
        <w:spacing w:line="480" w:lineRule="auto"/>
        <w:jc w:val="both"/>
        <w:rPr>
          <w:rFonts w:ascii="Times New Roman" w:hAnsi="Times New Roman" w:cs="Times New Roman"/>
          <w:sz w:val="24"/>
          <w:szCs w:val="24"/>
        </w:rPr>
      </w:pPr>
      <w:r w:rsidRPr="00085379">
        <w:rPr>
          <w:rFonts w:ascii="Times New Roman" w:hAnsi="Times New Roman" w:cs="Times New Roman"/>
          <w:noProof/>
          <w:sz w:val="24"/>
          <w:szCs w:val="24"/>
          <w:lang w:val="es-AR" w:eastAsia="es-AR"/>
        </w:rPr>
        <w:lastRenderedPageBreak/>
        <w:drawing>
          <wp:inline distT="0" distB="0" distL="0" distR="0" wp14:anchorId="141ECF7E" wp14:editId="7D0AC0E7">
            <wp:extent cx="4542262" cy="3324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44874" cy="3326137"/>
                    </a:xfrm>
                    <a:prstGeom prst="rect">
                      <a:avLst/>
                    </a:prstGeom>
                    <a:noFill/>
                    <a:ln>
                      <a:noFill/>
                    </a:ln>
                  </pic:spPr>
                </pic:pic>
              </a:graphicData>
            </a:graphic>
          </wp:inline>
        </w:drawing>
      </w:r>
    </w:p>
    <w:p w14:paraId="7C5AF78A" w14:textId="77777777" w:rsidR="00204055" w:rsidRDefault="00204055" w:rsidP="00085379">
      <w:pPr>
        <w:spacing w:line="480" w:lineRule="auto"/>
        <w:jc w:val="both"/>
        <w:rPr>
          <w:rFonts w:ascii="Times New Roman" w:hAnsi="Times New Roman" w:cs="Times New Roman"/>
          <w:b/>
          <w:sz w:val="24"/>
          <w:szCs w:val="24"/>
        </w:rPr>
      </w:pPr>
    </w:p>
    <w:p w14:paraId="48D77001" w14:textId="77777777" w:rsidR="00204055" w:rsidRPr="00085379" w:rsidRDefault="00204055" w:rsidP="00085379">
      <w:pPr>
        <w:spacing w:line="480" w:lineRule="auto"/>
        <w:jc w:val="both"/>
        <w:rPr>
          <w:rFonts w:ascii="Times New Roman" w:hAnsi="Times New Roman" w:cs="Times New Roman"/>
          <w:b/>
          <w:sz w:val="24"/>
          <w:szCs w:val="24"/>
        </w:rPr>
      </w:pPr>
      <w:r w:rsidRPr="00085379">
        <w:rPr>
          <w:rFonts w:ascii="Times New Roman" w:hAnsi="Times New Roman" w:cs="Times New Roman"/>
          <w:b/>
          <w:sz w:val="24"/>
          <w:szCs w:val="24"/>
        </w:rPr>
        <w:t>VII. DISCUSSION</w:t>
      </w:r>
    </w:p>
    <w:p w14:paraId="0BF0AE68" w14:textId="77777777" w:rsidR="00204055" w:rsidRPr="00085379" w:rsidRDefault="00204055" w:rsidP="00085379">
      <w:pPr>
        <w:spacing w:line="480" w:lineRule="auto"/>
        <w:jc w:val="both"/>
        <w:rPr>
          <w:rFonts w:ascii="Times New Roman" w:hAnsi="Times New Roman" w:cs="Times New Roman"/>
          <w:i/>
          <w:sz w:val="24"/>
          <w:szCs w:val="24"/>
        </w:rPr>
      </w:pPr>
      <w:r w:rsidRPr="00085379">
        <w:rPr>
          <w:rFonts w:ascii="Times New Roman" w:hAnsi="Times New Roman" w:cs="Times New Roman"/>
          <w:i/>
          <w:sz w:val="24"/>
          <w:szCs w:val="24"/>
        </w:rPr>
        <w:t>Case duration</w:t>
      </w:r>
    </w:p>
    <w:p w14:paraId="2B5F8FAB" w14:textId="318E1375" w:rsidR="00AA6FBE" w:rsidRPr="00085379" w:rsidRDefault="00204055" w:rsidP="00085379">
      <w:pPr>
        <w:spacing w:line="480" w:lineRule="auto"/>
        <w:jc w:val="both"/>
        <w:rPr>
          <w:rFonts w:ascii="Times New Roman" w:hAnsi="Times New Roman" w:cs="Times New Roman"/>
          <w:sz w:val="24"/>
          <w:szCs w:val="24"/>
        </w:rPr>
      </w:pPr>
      <w:r w:rsidRPr="00085379">
        <w:rPr>
          <w:rFonts w:ascii="Times New Roman" w:hAnsi="Times New Roman" w:cs="Times New Roman"/>
          <w:sz w:val="24"/>
          <w:szCs w:val="24"/>
        </w:rPr>
        <w:t xml:space="preserve">Our </w:t>
      </w:r>
      <w:r>
        <w:rPr>
          <w:rFonts w:ascii="Times New Roman" w:hAnsi="Times New Roman" w:cs="Times New Roman"/>
          <w:sz w:val="24"/>
          <w:szCs w:val="24"/>
        </w:rPr>
        <w:t>main</w:t>
      </w:r>
      <w:r w:rsidRPr="00085379">
        <w:rPr>
          <w:rFonts w:ascii="Times New Roman" w:hAnsi="Times New Roman" w:cs="Times New Roman"/>
          <w:sz w:val="24"/>
          <w:szCs w:val="24"/>
        </w:rPr>
        <w:t xml:space="preserve"> findings concern case duration. Chief among those results is the average case length. We expected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xml:space="preserve"> decisions to be resolved in a speedy manner as procedural dismissals are believed to be an efficient way to dispose of a case.</w:t>
      </w:r>
      <w:r w:rsidRPr="00085379">
        <w:rPr>
          <w:rStyle w:val="EndnoteReference"/>
          <w:rFonts w:ascii="Times New Roman" w:hAnsi="Times New Roman" w:cs="Times New Roman"/>
          <w:sz w:val="24"/>
          <w:szCs w:val="24"/>
        </w:rPr>
        <w:endnoteReference w:id="47"/>
      </w:r>
      <w:r w:rsidRPr="00085379">
        <w:rPr>
          <w:rFonts w:ascii="Times New Roman" w:hAnsi="Times New Roman" w:cs="Times New Roman"/>
          <w:sz w:val="24"/>
          <w:szCs w:val="24"/>
        </w:rPr>
        <w:t xml:space="preserve"> One interviewee went as far as to suggest that those cases should last no more than 45 days.</w:t>
      </w:r>
      <w:r w:rsidRPr="00085379">
        <w:rPr>
          <w:rStyle w:val="EndnoteReference"/>
          <w:rFonts w:ascii="Times New Roman" w:hAnsi="Times New Roman" w:cs="Times New Roman"/>
          <w:sz w:val="24"/>
          <w:szCs w:val="24"/>
        </w:rPr>
        <w:endnoteReference w:id="48"/>
      </w:r>
      <w:r w:rsidRPr="00085379">
        <w:rPr>
          <w:rFonts w:ascii="Times New Roman" w:hAnsi="Times New Roman" w:cs="Times New Roman"/>
          <w:sz w:val="24"/>
          <w:szCs w:val="24"/>
        </w:rPr>
        <w:t xml:space="preserve"> Nevertheless, it took CSJN on average </w:t>
      </w:r>
      <w:r>
        <w:rPr>
          <w:rFonts w:ascii="Times New Roman" w:hAnsi="Times New Roman" w:cs="Times New Roman"/>
          <w:sz w:val="24"/>
          <w:szCs w:val="24"/>
        </w:rPr>
        <w:t>just under</w:t>
      </w:r>
      <w:r w:rsidRPr="00085379">
        <w:rPr>
          <w:rFonts w:ascii="Times New Roman" w:hAnsi="Times New Roman" w:cs="Times New Roman"/>
          <w:sz w:val="24"/>
          <w:szCs w:val="24"/>
        </w:rPr>
        <w:t xml:space="preserve"> 320 days to decide them. When we asked about this figure, most interviewees seemed </w:t>
      </w:r>
      <w:r w:rsidRPr="00085379">
        <w:rPr>
          <w:rFonts w:ascii="Times New Roman" w:hAnsi="Times New Roman" w:cs="Times New Roman"/>
          <w:sz w:val="24"/>
          <w:szCs w:val="24"/>
        </w:rPr>
        <w:lastRenderedPageBreak/>
        <w:t>astonished by its magnitude. The common explanation we received was that CSJN analyzes fully each and every appeal, regardless of formal errors, and that internal processes leading to decisions take time.</w:t>
      </w:r>
      <w:r w:rsidRPr="00085379">
        <w:rPr>
          <w:rStyle w:val="EndnoteReference"/>
          <w:rFonts w:ascii="Times New Roman" w:hAnsi="Times New Roman" w:cs="Times New Roman"/>
          <w:sz w:val="24"/>
          <w:szCs w:val="24"/>
        </w:rPr>
        <w:endnoteReference w:id="49"/>
      </w:r>
      <w:r w:rsidRPr="00085379">
        <w:rPr>
          <w:rFonts w:ascii="Times New Roman" w:hAnsi="Times New Roman" w:cs="Times New Roman"/>
          <w:sz w:val="24"/>
          <w:szCs w:val="24"/>
        </w:rPr>
        <w:t xml:space="preserve"> Although we believe that there’s some validity to this claim, we still believe case duration to be excessive. In the only other jurisdiction that we know of where a Supreme Court dismisses appeals on formal grounds, i.e. Taiwan, the average dismissal time is </w:t>
      </w:r>
      <w:r>
        <w:rPr>
          <w:rFonts w:ascii="Times New Roman" w:hAnsi="Times New Roman" w:cs="Times New Roman"/>
          <w:sz w:val="24"/>
          <w:szCs w:val="24"/>
        </w:rPr>
        <w:t>22 percent (70 days) faster</w:t>
      </w:r>
      <w:r w:rsidRPr="00085379">
        <w:rPr>
          <w:rFonts w:ascii="Times New Roman" w:hAnsi="Times New Roman" w:cs="Times New Roman"/>
          <w:sz w:val="24"/>
          <w:szCs w:val="24"/>
        </w:rPr>
        <w:t>.</w:t>
      </w:r>
      <w:r w:rsidRPr="00085379">
        <w:rPr>
          <w:rStyle w:val="EndnoteReference"/>
          <w:rFonts w:ascii="Times New Roman" w:hAnsi="Times New Roman" w:cs="Times New Roman"/>
          <w:sz w:val="24"/>
          <w:szCs w:val="24"/>
        </w:rPr>
        <w:endnoteReference w:id="50"/>
      </w:r>
      <w:r w:rsidRPr="00085379">
        <w:rPr>
          <w:rFonts w:ascii="Times New Roman" w:hAnsi="Times New Roman" w:cs="Times New Roman"/>
          <w:sz w:val="24"/>
          <w:szCs w:val="24"/>
        </w:rPr>
        <w:t xml:space="preserve"> </w:t>
      </w:r>
      <w:r>
        <w:rPr>
          <w:rFonts w:ascii="Times New Roman" w:hAnsi="Times New Roman" w:cs="Times New Roman"/>
          <w:sz w:val="24"/>
          <w:szCs w:val="24"/>
        </w:rPr>
        <w:t>Further, as appeals are analyzed in a seriatim manner in each specialized JD</w:t>
      </w:r>
      <w:r>
        <w:rPr>
          <w:rStyle w:val="EndnoteReference"/>
          <w:rFonts w:ascii="Times New Roman" w:hAnsi="Times New Roman" w:cs="Times New Roman"/>
          <w:sz w:val="24"/>
          <w:szCs w:val="24"/>
        </w:rPr>
        <w:endnoteReference w:id="51"/>
      </w:r>
      <w:r>
        <w:rPr>
          <w:rFonts w:ascii="Times New Roman" w:hAnsi="Times New Roman" w:cs="Times New Roman"/>
          <w:sz w:val="24"/>
          <w:szCs w:val="24"/>
        </w:rPr>
        <w:t xml:space="preserve"> </w:t>
      </w:r>
      <w:r w:rsidR="008C4B70">
        <w:rPr>
          <w:rFonts w:ascii="Times New Roman" w:hAnsi="Times New Roman" w:cs="Times New Roman"/>
          <w:sz w:val="24"/>
          <w:szCs w:val="24"/>
        </w:rPr>
        <w:t>the prolonged case duration likely delays the treatment of other –perhaps more important- appeals.</w:t>
      </w:r>
      <w:r w:rsidR="00007D5F">
        <w:rPr>
          <w:rFonts w:ascii="Times New Roman" w:hAnsi="Times New Roman" w:cs="Times New Roman"/>
          <w:sz w:val="24"/>
          <w:szCs w:val="24"/>
        </w:rPr>
        <w:t xml:space="preserve"> Similarly, the prolonged case duration could help explain the lack of CSJN increased output.</w:t>
      </w:r>
      <w:r w:rsidR="008C4B70">
        <w:rPr>
          <w:rFonts w:ascii="Times New Roman" w:hAnsi="Times New Roman" w:cs="Times New Roman"/>
          <w:sz w:val="24"/>
          <w:szCs w:val="24"/>
        </w:rPr>
        <w:t xml:space="preserve">  </w:t>
      </w:r>
    </w:p>
    <w:p w14:paraId="0C175C54" w14:textId="70748FF3" w:rsidR="00AA6FBE" w:rsidRPr="00085379" w:rsidRDefault="00AA6FBE" w:rsidP="00085379">
      <w:pPr>
        <w:spacing w:line="480" w:lineRule="auto"/>
        <w:jc w:val="both"/>
        <w:rPr>
          <w:rFonts w:ascii="Times New Roman" w:hAnsi="Times New Roman" w:cs="Times New Roman"/>
          <w:sz w:val="24"/>
          <w:szCs w:val="24"/>
        </w:rPr>
      </w:pPr>
      <w:r w:rsidRPr="00085379">
        <w:rPr>
          <w:rFonts w:ascii="Times New Roman" w:hAnsi="Times New Roman" w:cs="Times New Roman"/>
          <w:sz w:val="24"/>
          <w:szCs w:val="24"/>
        </w:rPr>
        <w:t>CSJN’s internal organization proved to have the largest impact on case duration. The difference in mean case duration among areas of laws at each extreme of our census approached 300 days. We believe that case congestion in specialized JD N° 6 at the beginning of 2012 explains in large part the observed differences.</w:t>
      </w:r>
      <w:r w:rsidRPr="00085379">
        <w:rPr>
          <w:rStyle w:val="EndnoteReference"/>
          <w:rFonts w:ascii="Times New Roman" w:hAnsi="Times New Roman" w:cs="Times New Roman"/>
          <w:sz w:val="24"/>
          <w:szCs w:val="24"/>
        </w:rPr>
        <w:endnoteReference w:id="52"/>
      </w:r>
      <w:r w:rsidR="00825598">
        <w:rPr>
          <w:rFonts w:ascii="Times New Roman" w:hAnsi="Times New Roman" w:cs="Times New Roman"/>
          <w:sz w:val="24"/>
          <w:szCs w:val="24"/>
        </w:rPr>
        <w:t xml:space="preserve"> </w:t>
      </w:r>
      <w:r w:rsidRPr="00085379">
        <w:rPr>
          <w:rFonts w:ascii="Times New Roman" w:hAnsi="Times New Roman" w:cs="Times New Roman"/>
          <w:sz w:val="24"/>
          <w:szCs w:val="24"/>
        </w:rPr>
        <w:t>Nevertheless, even after case redistribution at the beginning of 2012, specialized JD N° 6 was involved during 2012 in 225 less total decisions than during 2011. In order to explain this fact, one interviewee mentioned that it is common for many Labor Law appeals to reach CSJN on similar grounds. In these cases, it is only after a leading case is decided that other cases will follow suit.</w:t>
      </w:r>
      <w:r w:rsidRPr="00085379">
        <w:rPr>
          <w:rStyle w:val="EndnoteReference"/>
          <w:rFonts w:ascii="Times New Roman" w:hAnsi="Times New Roman" w:cs="Times New Roman"/>
          <w:sz w:val="24"/>
          <w:szCs w:val="24"/>
        </w:rPr>
        <w:endnoteReference w:id="53"/>
      </w:r>
      <w:r w:rsidRPr="00085379">
        <w:rPr>
          <w:rFonts w:ascii="Times New Roman" w:hAnsi="Times New Roman" w:cs="Times New Roman"/>
          <w:sz w:val="24"/>
          <w:szCs w:val="24"/>
        </w:rPr>
        <w:t xml:space="preserve"> Hence, Labor Law case duration may also reflect this fact. While we are sympathetic to this </w:t>
      </w:r>
      <w:r w:rsidRPr="00085379">
        <w:rPr>
          <w:rFonts w:ascii="Times New Roman" w:hAnsi="Times New Roman" w:cs="Times New Roman"/>
          <w:sz w:val="24"/>
          <w:szCs w:val="24"/>
        </w:rPr>
        <w:lastRenderedPageBreak/>
        <w:t>argument, it seems a bit odd</w:t>
      </w:r>
      <w:r w:rsidR="00AA223B">
        <w:rPr>
          <w:rFonts w:ascii="Times New Roman" w:hAnsi="Times New Roman" w:cs="Times New Roman"/>
          <w:sz w:val="24"/>
          <w:szCs w:val="24"/>
        </w:rPr>
        <w:t xml:space="preserve"> from a policy perspective</w:t>
      </w:r>
      <w:r w:rsidRPr="00085379">
        <w:rPr>
          <w:rFonts w:ascii="Times New Roman" w:hAnsi="Times New Roman" w:cs="Times New Roman"/>
          <w:sz w:val="24"/>
          <w:szCs w:val="24"/>
        </w:rPr>
        <w:t xml:space="preserve"> that appeals failing to comply with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xml:space="preserve"> would be delayed for this reason.</w:t>
      </w:r>
      <w:r w:rsidRPr="00085379">
        <w:rPr>
          <w:rStyle w:val="EndnoteReference"/>
          <w:rFonts w:ascii="Times New Roman" w:hAnsi="Times New Roman" w:cs="Times New Roman"/>
          <w:sz w:val="24"/>
          <w:szCs w:val="24"/>
        </w:rPr>
        <w:endnoteReference w:id="54"/>
      </w:r>
      <w:r w:rsidRPr="00085379">
        <w:rPr>
          <w:rFonts w:ascii="Times New Roman" w:hAnsi="Times New Roman" w:cs="Times New Roman"/>
          <w:sz w:val="24"/>
          <w:szCs w:val="24"/>
        </w:rPr>
        <w:t xml:space="preserve"> </w:t>
      </w:r>
    </w:p>
    <w:p w14:paraId="773DC7BF" w14:textId="77777777" w:rsidR="00AA6FBE" w:rsidRPr="00085379" w:rsidRDefault="00AA6FBE" w:rsidP="00085379">
      <w:pPr>
        <w:spacing w:line="480" w:lineRule="auto"/>
        <w:jc w:val="both"/>
        <w:rPr>
          <w:rFonts w:ascii="Times New Roman" w:hAnsi="Times New Roman" w:cs="Times New Roman"/>
          <w:i/>
          <w:sz w:val="24"/>
          <w:szCs w:val="24"/>
        </w:rPr>
      </w:pPr>
      <w:proofErr w:type="spellStart"/>
      <w:r w:rsidRPr="00085379">
        <w:rPr>
          <w:rFonts w:ascii="Times New Roman" w:hAnsi="Times New Roman" w:cs="Times New Roman"/>
          <w:i/>
          <w:sz w:val="24"/>
          <w:szCs w:val="24"/>
        </w:rPr>
        <w:t>Acordada’s</w:t>
      </w:r>
      <w:proofErr w:type="spellEnd"/>
      <w:r w:rsidRPr="00085379">
        <w:rPr>
          <w:rFonts w:ascii="Times New Roman" w:hAnsi="Times New Roman" w:cs="Times New Roman"/>
          <w:i/>
          <w:sz w:val="24"/>
          <w:szCs w:val="24"/>
        </w:rPr>
        <w:t xml:space="preserve"> goals and effects</w:t>
      </w:r>
    </w:p>
    <w:p w14:paraId="1824E44C" w14:textId="77777777" w:rsidR="00AA6FBE" w:rsidRPr="00085379" w:rsidRDefault="00AA6FBE" w:rsidP="00085379">
      <w:pPr>
        <w:spacing w:line="480" w:lineRule="auto"/>
        <w:jc w:val="both"/>
        <w:rPr>
          <w:rFonts w:ascii="Times New Roman" w:hAnsi="Times New Roman" w:cs="Times New Roman"/>
          <w:sz w:val="24"/>
          <w:szCs w:val="24"/>
        </w:rPr>
      </w:pPr>
      <w:r w:rsidRPr="00085379" w:rsidDel="000122B1">
        <w:rPr>
          <w:rFonts w:ascii="Times New Roman" w:hAnsi="Times New Roman" w:cs="Times New Roman"/>
          <w:sz w:val="24"/>
          <w:szCs w:val="24"/>
        </w:rPr>
        <w:t>The widespread view shared among our interviewees is that CSJN will never dismiss a case on formal grounds if the underlying injustice merits review or if CSJN “cares” about the underlying legal problem.</w:t>
      </w:r>
      <w:r w:rsidRPr="00085379" w:rsidDel="000122B1">
        <w:rPr>
          <w:rStyle w:val="EndnoteReference"/>
          <w:rFonts w:ascii="Times New Roman" w:hAnsi="Times New Roman" w:cs="Times New Roman"/>
          <w:sz w:val="24"/>
          <w:szCs w:val="24"/>
        </w:rPr>
        <w:endnoteReference w:id="55"/>
      </w:r>
      <w:r w:rsidRPr="00085379" w:rsidDel="000122B1">
        <w:rPr>
          <w:rFonts w:ascii="Times New Roman" w:hAnsi="Times New Roman" w:cs="Times New Roman"/>
          <w:sz w:val="24"/>
          <w:szCs w:val="24"/>
        </w:rPr>
        <w:t xml:space="preserve"> To support this view, several interviewees noted that a discovery of formal errors doesn’t preclude further appeal analysis by CSJN. Nevertheless, the internal memo generated by the specialized </w:t>
      </w:r>
      <w:r w:rsidRPr="00085379">
        <w:rPr>
          <w:rFonts w:ascii="Times New Roman" w:hAnsi="Times New Roman" w:cs="Times New Roman"/>
          <w:sz w:val="24"/>
          <w:szCs w:val="24"/>
        </w:rPr>
        <w:t>JD</w:t>
      </w:r>
      <w:r w:rsidRPr="00085379" w:rsidDel="000122B1">
        <w:rPr>
          <w:rFonts w:ascii="Times New Roman" w:hAnsi="Times New Roman" w:cs="Times New Roman"/>
          <w:sz w:val="24"/>
          <w:szCs w:val="24"/>
        </w:rPr>
        <w:t xml:space="preserve"> is “more laconic” when formal errors are present.</w:t>
      </w:r>
      <w:r w:rsidRPr="00085379" w:rsidDel="000122B1">
        <w:rPr>
          <w:rStyle w:val="EndnoteReference"/>
          <w:rFonts w:ascii="Times New Roman" w:hAnsi="Times New Roman" w:cs="Times New Roman"/>
          <w:sz w:val="24"/>
          <w:szCs w:val="24"/>
        </w:rPr>
        <w:endnoteReference w:id="56"/>
      </w:r>
      <w:r w:rsidRPr="00085379">
        <w:rPr>
          <w:rFonts w:ascii="Times New Roman" w:hAnsi="Times New Roman" w:cs="Times New Roman"/>
          <w:sz w:val="24"/>
          <w:szCs w:val="24"/>
        </w:rPr>
        <w:t xml:space="preserve"> </w:t>
      </w:r>
      <w:r w:rsidRPr="00085379" w:rsidDel="000122B1">
        <w:rPr>
          <w:rFonts w:ascii="Times New Roman" w:hAnsi="Times New Roman" w:cs="Times New Roman"/>
          <w:sz w:val="24"/>
          <w:szCs w:val="24"/>
        </w:rPr>
        <w:t xml:space="preserve">This structure suggests that cases containing egregious injustices would not be affected by </w:t>
      </w:r>
      <w:proofErr w:type="spellStart"/>
      <w:r w:rsidRPr="00085379" w:rsidDel="000122B1">
        <w:rPr>
          <w:rFonts w:ascii="Times New Roman" w:hAnsi="Times New Roman" w:cs="Times New Roman"/>
          <w:i/>
          <w:sz w:val="24"/>
          <w:szCs w:val="24"/>
        </w:rPr>
        <w:t>Acordada</w:t>
      </w:r>
      <w:proofErr w:type="spellEnd"/>
      <w:r w:rsidRPr="00085379" w:rsidDel="000122B1">
        <w:rPr>
          <w:rFonts w:ascii="Times New Roman" w:hAnsi="Times New Roman" w:cs="Times New Roman"/>
          <w:sz w:val="24"/>
          <w:szCs w:val="24"/>
        </w:rPr>
        <w:t xml:space="preserve"> but “hearable” cases would be. </w:t>
      </w:r>
      <w:r w:rsidRPr="00085379">
        <w:rPr>
          <w:rFonts w:ascii="Times New Roman" w:hAnsi="Times New Roman" w:cs="Times New Roman"/>
          <w:sz w:val="24"/>
          <w:szCs w:val="24"/>
        </w:rPr>
        <w:t xml:space="preserve">Furthermore, for </w:t>
      </w:r>
      <w:r w:rsidRPr="00085379" w:rsidDel="000122B1">
        <w:rPr>
          <w:rFonts w:ascii="Times New Roman" w:hAnsi="Times New Roman" w:cs="Times New Roman"/>
          <w:sz w:val="24"/>
          <w:szCs w:val="24"/>
        </w:rPr>
        <w:t>appeals lacki</w:t>
      </w:r>
      <w:r w:rsidRPr="00085379">
        <w:rPr>
          <w:rFonts w:ascii="Times New Roman" w:hAnsi="Times New Roman" w:cs="Times New Roman"/>
          <w:sz w:val="24"/>
          <w:szCs w:val="24"/>
        </w:rPr>
        <w:t xml:space="preserve">ng relevant docket copies </w:t>
      </w:r>
      <w:r w:rsidRPr="00085379" w:rsidDel="000122B1">
        <w:rPr>
          <w:rFonts w:ascii="Times New Roman" w:hAnsi="Times New Roman" w:cs="Times New Roman"/>
          <w:sz w:val="24"/>
          <w:szCs w:val="24"/>
        </w:rPr>
        <w:t>CSJN usually can’t complete its preliminary analysis due to insufficient information</w:t>
      </w:r>
      <w:r w:rsidRPr="00085379">
        <w:rPr>
          <w:rFonts w:ascii="Times New Roman" w:hAnsi="Times New Roman" w:cs="Times New Roman"/>
          <w:sz w:val="24"/>
          <w:szCs w:val="24"/>
        </w:rPr>
        <w:t xml:space="preserve">. These cases may also allow for more error in the case selection process. </w:t>
      </w:r>
      <w:r w:rsidRPr="00085379" w:rsidDel="000122B1">
        <w:rPr>
          <w:rFonts w:ascii="Times New Roman" w:hAnsi="Times New Roman" w:cs="Times New Roman"/>
          <w:sz w:val="24"/>
          <w:szCs w:val="24"/>
        </w:rPr>
        <w:t xml:space="preserve">This is especially true </w:t>
      </w:r>
      <w:r w:rsidRPr="00085379">
        <w:rPr>
          <w:rFonts w:ascii="Times New Roman" w:hAnsi="Times New Roman" w:cs="Times New Roman"/>
          <w:sz w:val="24"/>
          <w:szCs w:val="24"/>
        </w:rPr>
        <w:t>since a Justice’s annual workload may allow just a few minutes to review any given petition.</w:t>
      </w:r>
      <w:r w:rsidRPr="00085379" w:rsidDel="000122B1">
        <w:rPr>
          <w:rStyle w:val="EndnoteReference"/>
          <w:rFonts w:ascii="Times New Roman" w:hAnsi="Times New Roman" w:cs="Times New Roman"/>
          <w:sz w:val="24"/>
          <w:szCs w:val="24"/>
        </w:rPr>
        <w:endnoteReference w:id="57"/>
      </w:r>
      <w:r w:rsidRPr="00085379">
        <w:rPr>
          <w:rFonts w:ascii="Times New Roman" w:hAnsi="Times New Roman" w:cs="Times New Roman"/>
          <w:sz w:val="24"/>
          <w:szCs w:val="24"/>
        </w:rPr>
        <w:t xml:space="preserve"> The results obtained in Criminal Law, an area where CSJN is relatively less likely to use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seem to confirm the effect. W</w:t>
      </w:r>
      <w:r w:rsidRPr="00085379" w:rsidDel="000122B1">
        <w:rPr>
          <w:rFonts w:ascii="Times New Roman" w:hAnsi="Times New Roman" w:cs="Times New Roman"/>
          <w:sz w:val="24"/>
          <w:szCs w:val="24"/>
        </w:rPr>
        <w:t xml:space="preserve">hile </w:t>
      </w:r>
      <w:r w:rsidRPr="00085379">
        <w:rPr>
          <w:rFonts w:ascii="Times New Roman" w:hAnsi="Times New Roman" w:cs="Times New Roman"/>
          <w:sz w:val="24"/>
          <w:szCs w:val="24"/>
        </w:rPr>
        <w:t>71 percent</w:t>
      </w:r>
      <w:r w:rsidRPr="00085379" w:rsidDel="000122B1">
        <w:rPr>
          <w:rFonts w:ascii="Times New Roman" w:hAnsi="Times New Roman" w:cs="Times New Roman"/>
          <w:sz w:val="24"/>
          <w:szCs w:val="24"/>
        </w:rPr>
        <w:t xml:space="preserve"> of all </w:t>
      </w:r>
      <w:proofErr w:type="spellStart"/>
      <w:r w:rsidRPr="00085379" w:rsidDel="000122B1">
        <w:rPr>
          <w:rFonts w:ascii="Times New Roman" w:hAnsi="Times New Roman" w:cs="Times New Roman"/>
          <w:i/>
          <w:sz w:val="24"/>
          <w:szCs w:val="24"/>
        </w:rPr>
        <w:t>Acordada</w:t>
      </w:r>
      <w:proofErr w:type="spellEnd"/>
      <w:r w:rsidRPr="00085379" w:rsidDel="000122B1">
        <w:rPr>
          <w:rFonts w:ascii="Times New Roman" w:hAnsi="Times New Roman" w:cs="Times New Roman"/>
          <w:sz w:val="24"/>
          <w:szCs w:val="24"/>
        </w:rPr>
        <w:t xml:space="preserve"> criminal cases are rejected </w:t>
      </w:r>
      <w:r w:rsidRPr="00085379">
        <w:rPr>
          <w:rFonts w:ascii="Times New Roman" w:hAnsi="Times New Roman" w:cs="Times New Roman"/>
          <w:sz w:val="24"/>
          <w:szCs w:val="24"/>
        </w:rPr>
        <w:t>for</w:t>
      </w:r>
      <w:r w:rsidRPr="00085379" w:rsidDel="000122B1">
        <w:rPr>
          <w:rFonts w:ascii="Times New Roman" w:hAnsi="Times New Roman" w:cs="Times New Roman"/>
          <w:sz w:val="24"/>
          <w:szCs w:val="24"/>
        </w:rPr>
        <w:t xml:space="preserve"> lack of</w:t>
      </w:r>
      <w:r w:rsidRPr="00085379">
        <w:rPr>
          <w:rFonts w:ascii="Times New Roman" w:hAnsi="Times New Roman" w:cs="Times New Roman"/>
          <w:sz w:val="24"/>
          <w:szCs w:val="24"/>
        </w:rPr>
        <w:t xml:space="preserve"> relevant</w:t>
      </w:r>
      <w:r w:rsidRPr="00085379" w:rsidDel="000122B1">
        <w:rPr>
          <w:rFonts w:ascii="Times New Roman" w:hAnsi="Times New Roman" w:cs="Times New Roman"/>
          <w:sz w:val="24"/>
          <w:szCs w:val="24"/>
        </w:rPr>
        <w:t xml:space="preserve"> docket copies only </w:t>
      </w:r>
      <w:r w:rsidRPr="00085379">
        <w:rPr>
          <w:rFonts w:ascii="Times New Roman" w:hAnsi="Times New Roman" w:cs="Times New Roman"/>
          <w:sz w:val="24"/>
          <w:szCs w:val="24"/>
        </w:rPr>
        <w:t>56 percent</w:t>
      </w:r>
      <w:r w:rsidRPr="00085379" w:rsidDel="000122B1">
        <w:rPr>
          <w:rFonts w:ascii="Times New Roman" w:hAnsi="Times New Roman" w:cs="Times New Roman"/>
          <w:sz w:val="24"/>
          <w:szCs w:val="24"/>
        </w:rPr>
        <w:t xml:space="preserve"> of all </w:t>
      </w:r>
      <w:proofErr w:type="spellStart"/>
      <w:r w:rsidRPr="00085379" w:rsidDel="000122B1">
        <w:rPr>
          <w:rFonts w:ascii="Times New Roman" w:hAnsi="Times New Roman" w:cs="Times New Roman"/>
          <w:i/>
          <w:sz w:val="24"/>
          <w:szCs w:val="24"/>
        </w:rPr>
        <w:t>Acordada</w:t>
      </w:r>
      <w:proofErr w:type="spellEnd"/>
      <w:r w:rsidRPr="00085379" w:rsidDel="000122B1">
        <w:rPr>
          <w:rFonts w:ascii="Times New Roman" w:hAnsi="Times New Roman" w:cs="Times New Roman"/>
          <w:sz w:val="24"/>
          <w:szCs w:val="24"/>
        </w:rPr>
        <w:t xml:space="preserve"> criminal cases containing dissent or separate opinions are rejected for lack of docket copies. </w:t>
      </w:r>
      <w:r w:rsidRPr="00085379" w:rsidDel="000122B1">
        <w:rPr>
          <w:rFonts w:ascii="Times New Roman" w:hAnsi="Times New Roman" w:cs="Times New Roman"/>
          <w:sz w:val="24"/>
          <w:szCs w:val="24"/>
        </w:rPr>
        <w:lastRenderedPageBreak/>
        <w:t xml:space="preserve">Hence, </w:t>
      </w:r>
      <w:proofErr w:type="spellStart"/>
      <w:r w:rsidRPr="00085379" w:rsidDel="000122B1">
        <w:rPr>
          <w:rFonts w:ascii="Times New Roman" w:hAnsi="Times New Roman" w:cs="Times New Roman"/>
          <w:i/>
          <w:sz w:val="24"/>
          <w:szCs w:val="24"/>
        </w:rPr>
        <w:t>Acordada</w:t>
      </w:r>
      <w:proofErr w:type="spellEnd"/>
      <w:r w:rsidRPr="00085379" w:rsidDel="000122B1">
        <w:rPr>
          <w:rFonts w:ascii="Times New Roman" w:hAnsi="Times New Roman" w:cs="Times New Roman"/>
          <w:sz w:val="24"/>
          <w:szCs w:val="24"/>
        </w:rPr>
        <w:t xml:space="preserve"> has generated a new balance favoring access by litigants supported by specialized lawyers.</w:t>
      </w:r>
      <w:r w:rsidRPr="00085379" w:rsidDel="000122B1">
        <w:rPr>
          <w:rStyle w:val="EndnoteReference"/>
          <w:rFonts w:ascii="Times New Roman" w:hAnsi="Times New Roman" w:cs="Times New Roman"/>
          <w:sz w:val="24"/>
          <w:szCs w:val="24"/>
        </w:rPr>
        <w:endnoteReference w:id="58"/>
      </w:r>
      <w:r w:rsidRPr="00085379" w:rsidDel="000122B1">
        <w:rPr>
          <w:rFonts w:ascii="Times New Roman" w:hAnsi="Times New Roman" w:cs="Times New Roman"/>
          <w:sz w:val="24"/>
          <w:szCs w:val="24"/>
        </w:rPr>
        <w:t xml:space="preserve"> </w:t>
      </w:r>
    </w:p>
    <w:p w14:paraId="5A56FF77" w14:textId="77777777" w:rsidR="00AA6FBE" w:rsidRPr="00085379" w:rsidRDefault="00AA6FBE" w:rsidP="00085379">
      <w:pPr>
        <w:spacing w:line="480" w:lineRule="auto"/>
        <w:jc w:val="both"/>
        <w:rPr>
          <w:rFonts w:ascii="Times New Roman" w:hAnsi="Times New Roman" w:cs="Times New Roman"/>
          <w:sz w:val="24"/>
          <w:szCs w:val="24"/>
        </w:rPr>
      </w:pPr>
      <w:r w:rsidRPr="00085379">
        <w:rPr>
          <w:rFonts w:ascii="Times New Roman" w:hAnsi="Times New Roman" w:cs="Times New Roman"/>
          <w:sz w:val="24"/>
          <w:szCs w:val="24"/>
        </w:rPr>
        <w:t>This finding is important because it incorporates docket management techniques into discussions of party success in developing countries. While several studies have confirmed the main tenets of party capability theory in the US,</w:t>
      </w:r>
      <w:r w:rsidRPr="00085379">
        <w:rPr>
          <w:rStyle w:val="EndnoteReference"/>
          <w:rFonts w:ascii="Times New Roman" w:hAnsi="Times New Roman" w:cs="Times New Roman"/>
          <w:sz w:val="24"/>
          <w:szCs w:val="24"/>
        </w:rPr>
        <w:endnoteReference w:id="59"/>
      </w:r>
      <w:r w:rsidRPr="00085379">
        <w:rPr>
          <w:rFonts w:ascii="Times New Roman" w:hAnsi="Times New Roman" w:cs="Times New Roman"/>
          <w:sz w:val="24"/>
          <w:szCs w:val="24"/>
        </w:rPr>
        <w:t xml:space="preserve"> a few studies have found that Supreme Courts in other countries can actually favor weaker parties -either for strategic or ideological reasons-.</w:t>
      </w:r>
      <w:r w:rsidRPr="00085379">
        <w:rPr>
          <w:rStyle w:val="EndnoteReference"/>
          <w:rFonts w:ascii="Times New Roman" w:hAnsi="Times New Roman" w:cs="Times New Roman"/>
          <w:sz w:val="24"/>
          <w:szCs w:val="24"/>
        </w:rPr>
        <w:endnoteReference w:id="60"/>
      </w:r>
      <w:r w:rsidRPr="00085379">
        <w:rPr>
          <w:rFonts w:ascii="Times New Roman" w:hAnsi="Times New Roman" w:cs="Times New Roman"/>
          <w:sz w:val="24"/>
          <w:szCs w:val="24"/>
        </w:rPr>
        <w:t xml:space="preserve"> Nevertheless, those studies don’t focus on case dismissals.</w:t>
      </w:r>
      <w:r w:rsidRPr="00085379">
        <w:rPr>
          <w:rStyle w:val="EndnoteReference"/>
          <w:rFonts w:ascii="Times New Roman" w:hAnsi="Times New Roman" w:cs="Times New Roman"/>
          <w:sz w:val="24"/>
          <w:szCs w:val="24"/>
        </w:rPr>
        <w:endnoteReference w:id="61"/>
      </w:r>
      <w:r w:rsidRPr="00085379">
        <w:rPr>
          <w:rFonts w:ascii="Times New Roman" w:hAnsi="Times New Roman" w:cs="Times New Roman"/>
          <w:sz w:val="24"/>
          <w:szCs w:val="24"/>
        </w:rPr>
        <w:t xml:space="preserve"> </w:t>
      </w:r>
      <w:proofErr w:type="spellStart"/>
      <w:r w:rsidRPr="00085379">
        <w:rPr>
          <w:rFonts w:ascii="Times New Roman" w:hAnsi="Times New Roman" w:cs="Times New Roman"/>
          <w:sz w:val="24"/>
          <w:szCs w:val="24"/>
        </w:rPr>
        <w:t>Kastellec</w:t>
      </w:r>
      <w:proofErr w:type="spellEnd"/>
      <w:r w:rsidRPr="00085379">
        <w:rPr>
          <w:rFonts w:ascii="Times New Roman" w:hAnsi="Times New Roman" w:cs="Times New Roman"/>
          <w:sz w:val="24"/>
          <w:szCs w:val="24"/>
        </w:rPr>
        <w:t xml:space="preserve"> and Lax have shown that not accounting for case dismissals can distort findings about the effects of case characteristics on outcomes.</w:t>
      </w:r>
      <w:r w:rsidRPr="00085379">
        <w:rPr>
          <w:rStyle w:val="EndnoteReference"/>
          <w:rFonts w:ascii="Times New Roman" w:hAnsi="Times New Roman" w:cs="Times New Roman"/>
          <w:sz w:val="24"/>
          <w:szCs w:val="24"/>
        </w:rPr>
        <w:endnoteReference w:id="62"/>
      </w:r>
      <w:r w:rsidRPr="00085379">
        <w:rPr>
          <w:rFonts w:ascii="Times New Roman" w:hAnsi="Times New Roman" w:cs="Times New Roman"/>
          <w:sz w:val="24"/>
          <w:szCs w:val="24"/>
        </w:rPr>
        <w:t xml:space="preserve"> Our results suggest that docket management techniques may also affect case outcome results of previous studies, as well as the ability of even the most willing ideological courts to offset resource differences among litigants. </w:t>
      </w:r>
    </w:p>
    <w:p w14:paraId="5693597D" w14:textId="77777777" w:rsidR="00AA6FBE" w:rsidRPr="00085379" w:rsidRDefault="00AA6FBE" w:rsidP="00085379">
      <w:pPr>
        <w:spacing w:line="480" w:lineRule="auto"/>
        <w:jc w:val="both"/>
        <w:rPr>
          <w:rFonts w:ascii="Times New Roman" w:hAnsi="Times New Roman" w:cs="Times New Roman"/>
          <w:sz w:val="24"/>
          <w:szCs w:val="24"/>
        </w:rPr>
      </w:pPr>
      <w:r w:rsidRPr="00085379">
        <w:rPr>
          <w:rFonts w:ascii="Times New Roman" w:hAnsi="Times New Roman" w:cs="Times New Roman"/>
          <w:sz w:val="24"/>
          <w:szCs w:val="24"/>
        </w:rPr>
        <w:t xml:space="preserve">The new access to justice balance leads to question what CSJN was trying to achieve with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xml:space="preserve">, especially since it was enacted without prior consultation with </w:t>
      </w:r>
      <w:proofErr w:type="gramStart"/>
      <w:r w:rsidRPr="00085379">
        <w:rPr>
          <w:rFonts w:ascii="Times New Roman" w:hAnsi="Times New Roman" w:cs="Times New Roman"/>
          <w:sz w:val="24"/>
          <w:szCs w:val="24"/>
        </w:rPr>
        <w:t>Bar</w:t>
      </w:r>
      <w:proofErr w:type="gramEnd"/>
      <w:r w:rsidRPr="00085379">
        <w:rPr>
          <w:rFonts w:ascii="Times New Roman" w:hAnsi="Times New Roman" w:cs="Times New Roman"/>
          <w:sz w:val="24"/>
          <w:szCs w:val="24"/>
        </w:rPr>
        <w:t xml:space="preserve"> associations or lower courts.</w:t>
      </w:r>
      <w:r w:rsidRPr="00085379">
        <w:rPr>
          <w:rStyle w:val="EndnoteReference"/>
          <w:rFonts w:ascii="Times New Roman" w:hAnsi="Times New Roman" w:cs="Times New Roman"/>
          <w:sz w:val="24"/>
          <w:szCs w:val="24"/>
        </w:rPr>
        <w:endnoteReference w:id="63"/>
      </w:r>
      <w:r w:rsidRPr="00085379">
        <w:rPr>
          <w:rFonts w:ascii="Times New Roman" w:hAnsi="Times New Roman" w:cs="Times New Roman"/>
          <w:sz w:val="24"/>
          <w:szCs w:val="24"/>
        </w:rPr>
        <w:t xml:space="preserve"> A first common answer we received was that CSJN had been receiving poorly constructed appeals, many of them unnecessarily long and largely abusing the copy-paste function.</w:t>
      </w:r>
      <w:r w:rsidRPr="00085379">
        <w:rPr>
          <w:rStyle w:val="EndnoteReference"/>
          <w:rFonts w:ascii="Times New Roman" w:hAnsi="Times New Roman" w:cs="Times New Roman"/>
          <w:sz w:val="24"/>
          <w:szCs w:val="24"/>
        </w:rPr>
        <w:endnoteReference w:id="64"/>
      </w:r>
      <w:r w:rsidRPr="00085379">
        <w:rPr>
          <w:rFonts w:ascii="Times New Roman" w:hAnsi="Times New Roman" w:cs="Times New Roman"/>
          <w:sz w:val="24"/>
          <w:szCs w:val="24"/>
        </w:rPr>
        <w:t xml:space="preserve"> Hence,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xml:space="preserve"> looked to reign in a situation where appeals were disrupting CSJN daily operations. Even though we believe that there is some truth to this explanation, it </w:t>
      </w:r>
      <w:r w:rsidRPr="00085379">
        <w:rPr>
          <w:rFonts w:ascii="Times New Roman" w:hAnsi="Times New Roman" w:cs="Times New Roman"/>
          <w:sz w:val="24"/>
          <w:szCs w:val="24"/>
        </w:rPr>
        <w:lastRenderedPageBreak/>
        <w:t>fails to explain why CSJN imposed a stern sanction to informal appeals.</w:t>
      </w:r>
      <w:r w:rsidRPr="00085379">
        <w:rPr>
          <w:rStyle w:val="EndnoteReference"/>
          <w:rFonts w:ascii="Times New Roman" w:hAnsi="Times New Roman" w:cs="Times New Roman"/>
          <w:sz w:val="24"/>
          <w:szCs w:val="24"/>
        </w:rPr>
        <w:endnoteReference w:id="65"/>
      </w:r>
      <w:r w:rsidRPr="00085379">
        <w:rPr>
          <w:rFonts w:ascii="Times New Roman" w:hAnsi="Times New Roman" w:cs="Times New Roman"/>
          <w:sz w:val="24"/>
          <w:szCs w:val="24"/>
        </w:rPr>
        <w:t xml:space="preserve"> As a matter of fact, CSJN work could have been facilitated too if appellants were given a short period of time to amend their mistakes, as it is, for instance, provided by Section 14.5 of the Rules of the Supreme Court of the United States.</w:t>
      </w:r>
      <w:r w:rsidRPr="00085379">
        <w:rPr>
          <w:rStyle w:val="EndnoteReference"/>
          <w:rFonts w:ascii="Times New Roman" w:hAnsi="Times New Roman" w:cs="Times New Roman"/>
          <w:sz w:val="24"/>
          <w:szCs w:val="24"/>
        </w:rPr>
        <w:endnoteReference w:id="66"/>
      </w:r>
      <w:r w:rsidRPr="00085379">
        <w:rPr>
          <w:rFonts w:ascii="Times New Roman" w:hAnsi="Times New Roman" w:cs="Times New Roman"/>
          <w:sz w:val="24"/>
          <w:szCs w:val="24"/>
        </w:rPr>
        <w:t xml:space="preserve"> </w:t>
      </w:r>
    </w:p>
    <w:p w14:paraId="6DDCE168" w14:textId="77777777" w:rsidR="00AA6FBE" w:rsidRPr="00085379" w:rsidRDefault="00AA6FBE" w:rsidP="00085379">
      <w:pPr>
        <w:spacing w:line="480" w:lineRule="auto"/>
        <w:jc w:val="both"/>
        <w:rPr>
          <w:rFonts w:ascii="Times New Roman" w:hAnsi="Times New Roman" w:cs="Times New Roman"/>
          <w:sz w:val="24"/>
          <w:szCs w:val="24"/>
        </w:rPr>
      </w:pPr>
      <w:r w:rsidRPr="00085379">
        <w:rPr>
          <w:rFonts w:ascii="Times New Roman" w:hAnsi="Times New Roman" w:cs="Times New Roman"/>
          <w:sz w:val="24"/>
          <w:szCs w:val="24"/>
        </w:rPr>
        <w:t>A second type of response we received involved CSJN docket management.</w:t>
      </w:r>
      <w:r w:rsidRPr="00085379">
        <w:rPr>
          <w:rStyle w:val="EndnoteReference"/>
          <w:rFonts w:ascii="Times New Roman" w:hAnsi="Times New Roman" w:cs="Times New Roman"/>
          <w:sz w:val="24"/>
          <w:szCs w:val="24"/>
        </w:rPr>
        <w:endnoteReference w:id="67"/>
      </w:r>
      <w:r w:rsidRPr="00085379">
        <w:rPr>
          <w:rFonts w:ascii="Times New Roman" w:hAnsi="Times New Roman" w:cs="Times New Roman"/>
          <w:sz w:val="24"/>
          <w:szCs w:val="24"/>
        </w:rPr>
        <w:t xml:space="preserve"> In the years leading to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CSJN had been flooded with appeals.</w:t>
      </w:r>
      <w:r w:rsidRPr="00085379">
        <w:rPr>
          <w:rStyle w:val="EndnoteReference"/>
          <w:rFonts w:ascii="Times New Roman" w:hAnsi="Times New Roman" w:cs="Times New Roman"/>
          <w:sz w:val="24"/>
          <w:szCs w:val="24"/>
        </w:rPr>
        <w:endnoteReference w:id="68"/>
      </w:r>
      <w:r w:rsidRPr="00085379">
        <w:rPr>
          <w:rFonts w:ascii="Times New Roman" w:hAnsi="Times New Roman" w:cs="Times New Roman"/>
          <w:sz w:val="24"/>
          <w:szCs w:val="24"/>
        </w:rPr>
        <w:t xml:space="preserve"> Two were the main drivers behind the large number of appeals. First, the economic crisis of 2001 led to tens of thousands of appeals claiming confiscation of individuals’ bank deposits.</w:t>
      </w:r>
      <w:r w:rsidRPr="00085379">
        <w:rPr>
          <w:rStyle w:val="EndnoteReference"/>
          <w:rFonts w:ascii="Times New Roman" w:hAnsi="Times New Roman" w:cs="Times New Roman"/>
          <w:sz w:val="24"/>
          <w:szCs w:val="24"/>
        </w:rPr>
        <w:endnoteReference w:id="69"/>
      </w:r>
      <w:r w:rsidRPr="00085379">
        <w:rPr>
          <w:rFonts w:ascii="Times New Roman" w:hAnsi="Times New Roman" w:cs="Times New Roman"/>
          <w:sz w:val="24"/>
          <w:szCs w:val="24"/>
        </w:rPr>
        <w:t xml:space="preserve"> Second, CSJN’s new composition shifted its approach in many social rights issues towards a more progressive view.</w:t>
      </w:r>
      <w:r w:rsidRPr="00085379">
        <w:rPr>
          <w:rStyle w:val="EndnoteReference"/>
          <w:rFonts w:ascii="Times New Roman" w:hAnsi="Times New Roman" w:cs="Times New Roman"/>
          <w:sz w:val="24"/>
          <w:szCs w:val="24"/>
        </w:rPr>
        <w:endnoteReference w:id="70"/>
      </w:r>
      <w:r w:rsidRPr="00085379">
        <w:rPr>
          <w:rFonts w:ascii="Times New Roman" w:hAnsi="Times New Roman" w:cs="Times New Roman"/>
          <w:sz w:val="24"/>
          <w:szCs w:val="24"/>
        </w:rPr>
        <w:t xml:space="preserve"> As a result, lots of cases reached the court. By late 2006, these led CSJN justices to believe that the size of their docket was limiting their ability to accomplish their tasks as the ultimate guardians of the Constitution. </w:t>
      </w:r>
    </w:p>
    <w:p w14:paraId="4DC03A2F" w14:textId="77777777" w:rsidR="00AA6FBE" w:rsidRPr="00085379" w:rsidRDefault="00AA6FBE" w:rsidP="00085379">
      <w:pPr>
        <w:spacing w:line="480" w:lineRule="auto"/>
        <w:jc w:val="both"/>
        <w:rPr>
          <w:rFonts w:ascii="Times New Roman" w:hAnsi="Times New Roman" w:cs="Times New Roman"/>
          <w:sz w:val="24"/>
          <w:szCs w:val="24"/>
        </w:rPr>
      </w:pPr>
      <w:r w:rsidRPr="00085379">
        <w:rPr>
          <w:rFonts w:ascii="Times New Roman" w:hAnsi="Times New Roman" w:cs="Times New Roman"/>
          <w:sz w:val="24"/>
          <w:szCs w:val="24"/>
        </w:rPr>
        <w:t xml:space="preserve">CSJN took several measures to bring down its docket size to more manageable levels. First, in December of 2006 -8 months ahead of </w:t>
      </w:r>
      <w:proofErr w:type="spellStart"/>
      <w:r w:rsidRPr="00085379">
        <w:rPr>
          <w:rFonts w:ascii="Times New Roman" w:hAnsi="Times New Roman" w:cs="Times New Roman"/>
          <w:i/>
          <w:sz w:val="24"/>
          <w:szCs w:val="24"/>
        </w:rPr>
        <w:t>Acordada</w:t>
      </w:r>
      <w:r w:rsidRPr="00085379">
        <w:rPr>
          <w:rFonts w:ascii="Times New Roman" w:hAnsi="Times New Roman" w:cs="Times New Roman"/>
          <w:sz w:val="24"/>
          <w:szCs w:val="24"/>
        </w:rPr>
        <w:t>’s</w:t>
      </w:r>
      <w:proofErr w:type="spellEnd"/>
      <w:r w:rsidRPr="00085379">
        <w:rPr>
          <w:rFonts w:ascii="Times New Roman" w:hAnsi="Times New Roman" w:cs="Times New Roman"/>
          <w:sz w:val="24"/>
          <w:szCs w:val="24"/>
        </w:rPr>
        <w:t xml:space="preserve"> enactment- CSJN decided in </w:t>
      </w:r>
      <w:r w:rsidRPr="00085379">
        <w:rPr>
          <w:rFonts w:ascii="Times New Roman" w:hAnsi="Times New Roman" w:cs="Times New Roman"/>
          <w:i/>
          <w:sz w:val="24"/>
          <w:szCs w:val="24"/>
        </w:rPr>
        <w:t>Massa</w:t>
      </w:r>
      <w:r w:rsidRPr="00085379">
        <w:rPr>
          <w:rFonts w:ascii="Times New Roman" w:hAnsi="Times New Roman" w:cs="Times New Roman"/>
          <w:sz w:val="24"/>
          <w:szCs w:val="24"/>
        </w:rPr>
        <w:t xml:space="preserve"> to uphold </w:t>
      </w:r>
      <w:r w:rsidRPr="00085379">
        <w:rPr>
          <w:rFonts w:ascii="Times New Roman" w:hAnsi="Times New Roman" w:cs="Times New Roman"/>
          <w:noProof/>
          <w:sz w:val="24"/>
          <w:szCs w:val="24"/>
        </w:rPr>
        <w:t>the conversion of dollar deposits into rescheduled pesos deposits at the official rate</w:t>
      </w:r>
      <w:r w:rsidRPr="00085379">
        <w:rPr>
          <w:rFonts w:ascii="Times New Roman" w:hAnsi="Times New Roman" w:cs="Times New Roman"/>
          <w:sz w:val="24"/>
          <w:szCs w:val="24"/>
        </w:rPr>
        <w:t xml:space="preserve"> determined by decree 214/2002 –the key issue concerning the large mass of cases arising from the 2001 crisis.</w:t>
      </w:r>
      <w:r w:rsidRPr="00085379">
        <w:rPr>
          <w:rStyle w:val="EndnoteReference"/>
          <w:rFonts w:ascii="Times New Roman" w:hAnsi="Times New Roman" w:cs="Times New Roman"/>
          <w:sz w:val="24"/>
          <w:szCs w:val="24"/>
        </w:rPr>
        <w:endnoteReference w:id="71"/>
      </w:r>
      <w:r w:rsidRPr="00085379">
        <w:rPr>
          <w:rFonts w:ascii="Times New Roman" w:hAnsi="Times New Roman" w:cs="Times New Roman"/>
          <w:sz w:val="24"/>
          <w:szCs w:val="24"/>
        </w:rPr>
        <w:t xml:space="preserve"> On itself, this decision cleared the way to solve thousands of similar appeals that had been waiting in the Court.</w:t>
      </w:r>
      <w:r w:rsidRPr="00085379">
        <w:rPr>
          <w:rStyle w:val="EndnoteReference"/>
          <w:rFonts w:ascii="Times New Roman" w:hAnsi="Times New Roman" w:cs="Times New Roman"/>
          <w:sz w:val="24"/>
          <w:szCs w:val="24"/>
        </w:rPr>
        <w:endnoteReference w:id="72"/>
      </w:r>
      <w:r w:rsidRPr="00085379">
        <w:rPr>
          <w:rFonts w:ascii="Times New Roman" w:hAnsi="Times New Roman" w:cs="Times New Roman"/>
          <w:sz w:val="24"/>
          <w:szCs w:val="24"/>
        </w:rPr>
        <w:t xml:space="preserve"> Second, CSJN enacted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i/>
          <w:sz w:val="24"/>
          <w:szCs w:val="24"/>
        </w:rPr>
        <w:t xml:space="preserve"> 2</w:t>
      </w:r>
      <w:r w:rsidRPr="00085379">
        <w:rPr>
          <w:rFonts w:ascii="Times New Roman" w:hAnsi="Times New Roman" w:cs="Times New Roman"/>
          <w:sz w:val="24"/>
          <w:szCs w:val="24"/>
        </w:rPr>
        <w:t xml:space="preserve"> in February of </w:t>
      </w:r>
      <w:r w:rsidRPr="00085379">
        <w:rPr>
          <w:rFonts w:ascii="Times New Roman" w:hAnsi="Times New Roman" w:cs="Times New Roman"/>
          <w:sz w:val="24"/>
          <w:szCs w:val="24"/>
        </w:rPr>
        <w:lastRenderedPageBreak/>
        <w:t>2007 increasing 5 fold the deposit amount required to file an appeal.</w:t>
      </w:r>
      <w:r w:rsidRPr="00085379">
        <w:rPr>
          <w:rStyle w:val="EndnoteReference"/>
          <w:rFonts w:ascii="Times New Roman" w:hAnsi="Times New Roman" w:cs="Times New Roman"/>
          <w:sz w:val="24"/>
          <w:szCs w:val="24"/>
        </w:rPr>
        <w:endnoteReference w:id="73"/>
      </w:r>
      <w:r w:rsidRPr="00085379">
        <w:rPr>
          <w:rFonts w:ascii="Times New Roman" w:hAnsi="Times New Roman" w:cs="Times New Roman"/>
          <w:sz w:val="24"/>
          <w:szCs w:val="24"/>
        </w:rPr>
        <w:t xml:space="preserve"> This is important since currency depreciation after the crisis had lowered the deposit amount from the equivalent of </w:t>
      </w:r>
      <w:proofErr w:type="spellStart"/>
      <w:r w:rsidRPr="00085379">
        <w:rPr>
          <w:rFonts w:ascii="Times New Roman" w:hAnsi="Times New Roman" w:cs="Times New Roman"/>
          <w:sz w:val="24"/>
          <w:szCs w:val="24"/>
        </w:rPr>
        <w:t>u$s</w:t>
      </w:r>
      <w:proofErr w:type="spellEnd"/>
      <w:r w:rsidRPr="00085379">
        <w:rPr>
          <w:rFonts w:ascii="Times New Roman" w:hAnsi="Times New Roman" w:cs="Times New Roman"/>
          <w:sz w:val="24"/>
          <w:szCs w:val="24"/>
        </w:rPr>
        <w:t xml:space="preserve"> 1000 to around u$s300. Third, CSJN Justices were becoming increasingly worried that their progressive decisions had signaled to lawyers that CSJN would review almost any lower court decision. This was especially problematic since it was recognized that </w:t>
      </w:r>
      <w:r w:rsidRPr="00085379">
        <w:rPr>
          <w:rFonts w:ascii="Times New Roman" w:eastAsia="Times New Roman" w:hAnsi="Times New Roman" w:cs="Times New Roman"/>
          <w:color w:val="222222"/>
          <w:sz w:val="24"/>
          <w:szCs w:val="24"/>
        </w:rPr>
        <w:t>a lot of criticisms surfaced when CSJN decided non-constitutional issues.</w:t>
      </w:r>
      <w:r w:rsidRPr="00085379">
        <w:rPr>
          <w:rStyle w:val="EndnoteReference"/>
          <w:rFonts w:ascii="Times New Roman" w:eastAsia="Times New Roman" w:hAnsi="Times New Roman" w:cs="Times New Roman"/>
          <w:color w:val="222222"/>
          <w:sz w:val="24"/>
          <w:szCs w:val="24"/>
        </w:rPr>
        <w:endnoteReference w:id="74"/>
      </w:r>
      <w:r w:rsidRPr="00085379">
        <w:rPr>
          <w:rFonts w:ascii="Times New Roman" w:hAnsi="Times New Roman" w:cs="Times New Roman"/>
          <w:sz w:val="24"/>
          <w:szCs w:val="24"/>
        </w:rPr>
        <w:t xml:space="preserve"> Hence, CSJN decided to limit their review of appeals based on arbitrary decisions to clearly egregious ones. Finally, CSJN approved new requirements to file petitions with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These requirements provided CSJN a way to limit its docket through a mechanism deemed objective and technical.</w:t>
      </w:r>
      <w:r w:rsidRPr="00085379">
        <w:rPr>
          <w:rStyle w:val="EndnoteReference"/>
          <w:rFonts w:ascii="Times New Roman" w:hAnsi="Times New Roman" w:cs="Times New Roman"/>
          <w:sz w:val="24"/>
          <w:szCs w:val="24"/>
        </w:rPr>
        <w:endnoteReference w:id="75"/>
      </w:r>
      <w:r w:rsidRPr="00085379">
        <w:rPr>
          <w:rFonts w:ascii="Times New Roman" w:hAnsi="Times New Roman" w:cs="Times New Roman"/>
          <w:sz w:val="24"/>
          <w:szCs w:val="24"/>
        </w:rPr>
        <w:t xml:space="preserve"> The docket management explanation suggests a more complex scenario and points toward a set of policies taken to address the congestion problem. Nonetheless, it falls short of explaining why CSJN needed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xml:space="preserve"> in the first place, as it could have already dismissed those cases without it under </w:t>
      </w:r>
      <w:r w:rsidRPr="00085379">
        <w:rPr>
          <w:rFonts w:ascii="Times New Roman" w:hAnsi="Times New Roman" w:cs="Times New Roman"/>
          <w:i/>
          <w:sz w:val="24"/>
          <w:szCs w:val="24"/>
        </w:rPr>
        <w:t>Article 280</w:t>
      </w:r>
      <w:r w:rsidRPr="00085379">
        <w:rPr>
          <w:rFonts w:ascii="Times New Roman" w:hAnsi="Times New Roman" w:cs="Times New Roman"/>
          <w:sz w:val="24"/>
          <w:szCs w:val="24"/>
        </w:rPr>
        <w:t>.</w:t>
      </w:r>
      <w:r w:rsidRPr="00085379">
        <w:rPr>
          <w:rStyle w:val="EndnoteReference"/>
          <w:rFonts w:ascii="Times New Roman" w:hAnsi="Times New Roman" w:cs="Times New Roman"/>
          <w:sz w:val="24"/>
          <w:szCs w:val="24"/>
        </w:rPr>
        <w:endnoteReference w:id="76"/>
      </w:r>
      <w:r w:rsidRPr="00085379">
        <w:rPr>
          <w:rFonts w:ascii="Times New Roman" w:hAnsi="Times New Roman" w:cs="Times New Roman"/>
          <w:sz w:val="24"/>
          <w:szCs w:val="24"/>
        </w:rPr>
        <w:t xml:space="preserve"> </w:t>
      </w:r>
    </w:p>
    <w:p w14:paraId="6284EA06" w14:textId="77F5E4D7" w:rsidR="00AA6FBE" w:rsidRPr="00085379" w:rsidRDefault="00AA6FBE" w:rsidP="00085379">
      <w:pPr>
        <w:spacing w:line="480" w:lineRule="auto"/>
        <w:jc w:val="both"/>
        <w:rPr>
          <w:rFonts w:ascii="Times New Roman" w:hAnsi="Times New Roman" w:cs="Times New Roman"/>
          <w:sz w:val="24"/>
          <w:szCs w:val="24"/>
        </w:rPr>
      </w:pPr>
      <w:r w:rsidRPr="00085379">
        <w:rPr>
          <w:rFonts w:ascii="Times New Roman" w:hAnsi="Times New Roman" w:cs="Times New Roman"/>
          <w:sz w:val="24"/>
          <w:szCs w:val="24"/>
        </w:rPr>
        <w:t xml:space="preserve">We believe, by contrast, there are two additional reasons for the enactment of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First, CSJN seems to have wanted lawyers to take the appeal work –and therefore CSJN’s own work- more seriously. According to one of our interviewees, a Justice argued that appeals needed to pass a “minimum sufficiency test” in order to merit review.</w:t>
      </w:r>
      <w:r w:rsidRPr="00085379">
        <w:rPr>
          <w:rStyle w:val="EndnoteReference"/>
          <w:rFonts w:ascii="Times New Roman" w:hAnsi="Times New Roman" w:cs="Times New Roman"/>
          <w:sz w:val="24"/>
          <w:szCs w:val="24"/>
        </w:rPr>
        <w:endnoteReference w:id="77"/>
      </w:r>
      <w:r w:rsidRPr="00085379">
        <w:rPr>
          <w:rFonts w:ascii="Times New Roman" w:hAnsi="Times New Roman" w:cs="Times New Roman"/>
          <w:sz w:val="24"/>
          <w:szCs w:val="24"/>
        </w:rPr>
        <w:t xml:space="preserve"> Otherwise no professional fees would be awarded. Second, there was an implied legitimacy goal achieved.</w:t>
      </w:r>
      <w:r w:rsidR="00825598">
        <w:rPr>
          <w:rFonts w:ascii="Times New Roman" w:hAnsi="Times New Roman" w:cs="Times New Roman"/>
          <w:sz w:val="24"/>
          <w:szCs w:val="24"/>
        </w:rPr>
        <w:t xml:space="preserve"> Put differently, </w:t>
      </w:r>
      <w:r w:rsidR="00825598">
        <w:rPr>
          <w:rFonts w:ascii="Times New Roman" w:hAnsi="Times New Roman" w:cs="Times New Roman"/>
          <w:sz w:val="24"/>
          <w:szCs w:val="24"/>
        </w:rPr>
        <w:lastRenderedPageBreak/>
        <w:t xml:space="preserve">CSJN seems to be using </w:t>
      </w:r>
      <w:proofErr w:type="spellStart"/>
      <w:r w:rsidR="00825598" w:rsidRPr="00204055">
        <w:rPr>
          <w:rFonts w:ascii="Times New Roman" w:hAnsi="Times New Roman" w:cs="Times New Roman"/>
          <w:i/>
          <w:sz w:val="24"/>
          <w:szCs w:val="24"/>
        </w:rPr>
        <w:t>Acordada</w:t>
      </w:r>
      <w:proofErr w:type="spellEnd"/>
      <w:r w:rsidR="00825598">
        <w:rPr>
          <w:rFonts w:ascii="Times New Roman" w:hAnsi="Times New Roman" w:cs="Times New Roman"/>
          <w:sz w:val="24"/>
          <w:szCs w:val="24"/>
        </w:rPr>
        <w:t xml:space="preserve"> strategically </w:t>
      </w:r>
      <w:r w:rsidRPr="00085379">
        <w:rPr>
          <w:rFonts w:ascii="Times New Roman" w:hAnsi="Times New Roman" w:cs="Times New Roman"/>
          <w:sz w:val="24"/>
          <w:szCs w:val="24"/>
        </w:rPr>
        <w:t>to establish a wedge between dismissals. On the one hand, whenever CSJN denies certiorari based on its discretionary powers, any injustice that remains falls on the CSJN itself for not reviewing the case.</w:t>
      </w:r>
      <w:r w:rsidRPr="00085379">
        <w:rPr>
          <w:rStyle w:val="EndnoteReference"/>
          <w:rFonts w:ascii="Times New Roman" w:hAnsi="Times New Roman" w:cs="Times New Roman"/>
          <w:sz w:val="24"/>
          <w:szCs w:val="24"/>
        </w:rPr>
        <w:endnoteReference w:id="78"/>
      </w:r>
      <w:r w:rsidRPr="00085379">
        <w:rPr>
          <w:rFonts w:ascii="Times New Roman" w:hAnsi="Times New Roman" w:cs="Times New Roman"/>
          <w:sz w:val="24"/>
          <w:szCs w:val="24"/>
        </w:rPr>
        <w:t xml:space="preserve"> On the other hand, if a case is dismissed under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any injustice that remains falls on the intervening lawyers who don’t follow clearly established rules. Considering CSJN’s recent history –i.e. the legitimacy crisis suffered during the 1990s</w:t>
      </w:r>
      <w:r w:rsidRPr="00085379">
        <w:rPr>
          <w:rStyle w:val="EndnoteReference"/>
          <w:rFonts w:ascii="Times New Roman" w:hAnsi="Times New Roman" w:cs="Times New Roman"/>
          <w:sz w:val="24"/>
          <w:szCs w:val="24"/>
        </w:rPr>
        <w:endnoteReference w:id="79"/>
      </w:r>
      <w:r w:rsidRPr="00085379">
        <w:rPr>
          <w:rFonts w:ascii="Times New Roman" w:eastAsia="Times New Roman" w:hAnsi="Times New Roman" w:cs="Times New Roman"/>
          <w:color w:val="222222"/>
          <w:sz w:val="24"/>
          <w:szCs w:val="24"/>
        </w:rPr>
        <w:t>-, it seems plausible that the legitimacy goal played an important role.</w:t>
      </w:r>
      <w:r w:rsidRPr="00085379">
        <w:rPr>
          <w:rStyle w:val="EndnoteReference"/>
          <w:rFonts w:ascii="Times New Roman" w:eastAsia="Times New Roman" w:hAnsi="Times New Roman" w:cs="Times New Roman"/>
          <w:color w:val="222222"/>
          <w:sz w:val="24"/>
          <w:szCs w:val="24"/>
        </w:rPr>
        <w:endnoteReference w:id="80"/>
      </w:r>
      <w:r w:rsidRPr="00085379">
        <w:rPr>
          <w:rFonts w:ascii="Times New Roman" w:eastAsia="Times New Roman" w:hAnsi="Times New Roman" w:cs="Times New Roman"/>
          <w:color w:val="222222"/>
          <w:sz w:val="24"/>
          <w:szCs w:val="24"/>
        </w:rPr>
        <w:t xml:space="preserve"> To the extent that this interpretation is correct, it helps explain CSJN </w:t>
      </w:r>
      <w:r w:rsidRPr="00085379">
        <w:rPr>
          <w:rFonts w:ascii="Times New Roman" w:eastAsia="Times New Roman" w:hAnsi="Times New Roman" w:cs="Times New Roman"/>
          <w:i/>
          <w:color w:val="222222"/>
          <w:sz w:val="24"/>
          <w:szCs w:val="24"/>
        </w:rPr>
        <w:t>acceptance</w:t>
      </w:r>
      <w:r w:rsidRPr="00085379">
        <w:rPr>
          <w:rFonts w:ascii="Times New Roman" w:eastAsia="Times New Roman" w:hAnsi="Times New Roman" w:cs="Times New Roman"/>
          <w:color w:val="222222"/>
          <w:sz w:val="24"/>
          <w:szCs w:val="24"/>
        </w:rPr>
        <w:t xml:space="preserve"> of the high ratio of </w:t>
      </w:r>
      <w:proofErr w:type="spellStart"/>
      <w:r w:rsidRPr="00085379">
        <w:rPr>
          <w:rFonts w:ascii="Times New Roman" w:eastAsia="Times New Roman" w:hAnsi="Times New Roman" w:cs="Times New Roman"/>
          <w:i/>
          <w:color w:val="222222"/>
          <w:sz w:val="24"/>
          <w:szCs w:val="24"/>
        </w:rPr>
        <w:t>Acordada</w:t>
      </w:r>
      <w:proofErr w:type="spellEnd"/>
      <w:r w:rsidRPr="00085379">
        <w:rPr>
          <w:rFonts w:ascii="Times New Roman" w:eastAsia="Times New Roman" w:hAnsi="Times New Roman" w:cs="Times New Roman"/>
          <w:color w:val="222222"/>
          <w:sz w:val="24"/>
          <w:szCs w:val="24"/>
        </w:rPr>
        <w:t xml:space="preserve"> usage.</w:t>
      </w:r>
      <w:r w:rsidRPr="00085379">
        <w:rPr>
          <w:rStyle w:val="EndnoteReference"/>
          <w:rFonts w:ascii="Times New Roman" w:eastAsia="Times New Roman" w:hAnsi="Times New Roman" w:cs="Times New Roman"/>
          <w:color w:val="222222"/>
          <w:sz w:val="24"/>
          <w:szCs w:val="24"/>
        </w:rPr>
        <w:endnoteReference w:id="81"/>
      </w:r>
      <w:r w:rsidRPr="00085379">
        <w:rPr>
          <w:rFonts w:ascii="Times New Roman" w:eastAsia="Times New Roman" w:hAnsi="Times New Roman" w:cs="Times New Roman"/>
          <w:color w:val="222222"/>
          <w:sz w:val="24"/>
          <w:szCs w:val="24"/>
        </w:rPr>
        <w:t xml:space="preserve"> </w:t>
      </w:r>
    </w:p>
    <w:p w14:paraId="2012D6ED" w14:textId="77777777" w:rsidR="00AA6FBE" w:rsidRPr="00085379" w:rsidRDefault="00AA6FBE" w:rsidP="00085379">
      <w:pPr>
        <w:spacing w:line="480" w:lineRule="auto"/>
        <w:rPr>
          <w:rFonts w:ascii="Times New Roman" w:hAnsi="Times New Roman" w:cs="Times New Roman"/>
          <w:b/>
          <w:sz w:val="24"/>
          <w:szCs w:val="24"/>
        </w:rPr>
      </w:pPr>
      <w:r w:rsidRPr="00085379">
        <w:rPr>
          <w:rFonts w:ascii="Times New Roman" w:hAnsi="Times New Roman" w:cs="Times New Roman"/>
          <w:sz w:val="24"/>
          <w:szCs w:val="24"/>
        </w:rPr>
        <w:t xml:space="preserve">Understanding </w:t>
      </w:r>
      <w:proofErr w:type="spellStart"/>
      <w:r w:rsidRPr="00085379">
        <w:rPr>
          <w:rFonts w:ascii="Times New Roman" w:hAnsi="Times New Roman" w:cs="Times New Roman"/>
          <w:i/>
          <w:sz w:val="24"/>
          <w:szCs w:val="24"/>
        </w:rPr>
        <w:t>Acordada</w:t>
      </w:r>
      <w:r w:rsidRPr="00085379">
        <w:rPr>
          <w:rFonts w:ascii="Times New Roman" w:hAnsi="Times New Roman" w:cs="Times New Roman"/>
          <w:sz w:val="24"/>
          <w:szCs w:val="24"/>
        </w:rPr>
        <w:t>’s</w:t>
      </w:r>
      <w:proofErr w:type="spellEnd"/>
      <w:r w:rsidRPr="00085379">
        <w:rPr>
          <w:rFonts w:ascii="Times New Roman" w:hAnsi="Times New Roman" w:cs="Times New Roman"/>
          <w:sz w:val="24"/>
          <w:szCs w:val="24"/>
        </w:rPr>
        <w:t xml:space="preserve"> goals also helps to make sense of its observed effects. Consistent with the docket management explanation the total number of appeals filed with CSJN decreased after the enactment of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continuing a sharp decrease trend which started a year earlier.</w:t>
      </w:r>
      <w:r w:rsidRPr="00085379">
        <w:rPr>
          <w:rStyle w:val="EndnoteReference"/>
          <w:rFonts w:ascii="Times New Roman" w:hAnsi="Times New Roman" w:cs="Times New Roman"/>
          <w:sz w:val="24"/>
          <w:szCs w:val="24"/>
        </w:rPr>
        <w:endnoteReference w:id="82"/>
      </w:r>
      <w:r w:rsidRPr="00085379">
        <w:rPr>
          <w:rFonts w:ascii="Times New Roman" w:hAnsi="Times New Roman" w:cs="Times New Roman"/>
          <w:sz w:val="24"/>
          <w:szCs w:val="24"/>
        </w:rPr>
        <w:t xml:space="preserve"> At the same time, the total number decisions remained largely stable after the enactment of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xml:space="preserve">. This result is more puzzling as we expected that, as a result of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the CSJN would be able to issue a higher number of decisions. We explored three alternative explanations for this result. First, we asked our interviewees whether CSJN granted certiorari in a higher percentage of cases post-</w:t>
      </w:r>
      <w:proofErr w:type="spellStart"/>
      <w:r w:rsidRPr="00085379">
        <w:rPr>
          <w:rFonts w:ascii="Times New Roman" w:hAnsi="Times New Roman" w:cs="Times New Roman"/>
          <w:i/>
          <w:sz w:val="24"/>
          <w:szCs w:val="24"/>
          <w:u w:val="single"/>
        </w:rPr>
        <w:t>Acordada</w:t>
      </w:r>
      <w:proofErr w:type="spellEnd"/>
      <w:r w:rsidRPr="00085379">
        <w:rPr>
          <w:rFonts w:ascii="Times New Roman" w:hAnsi="Times New Roman" w:cs="Times New Roman"/>
          <w:sz w:val="24"/>
          <w:szCs w:val="24"/>
        </w:rPr>
        <w:t xml:space="preserve">. Second, we inquired whether the quality of opinions had improved. Finally, we asked whether </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xml:space="preserve"> rejections take the same amount of time as other rejections. None of our interviewees believed that the amount of cases granted </w:t>
      </w:r>
      <w:proofErr w:type="gramStart"/>
      <w:r w:rsidRPr="00085379">
        <w:rPr>
          <w:rFonts w:ascii="Times New Roman" w:hAnsi="Times New Roman" w:cs="Times New Roman"/>
          <w:sz w:val="24"/>
          <w:szCs w:val="24"/>
        </w:rPr>
        <w:t xml:space="preserve">certiorari had increased </w:t>
      </w:r>
      <w:r w:rsidRPr="00085379">
        <w:rPr>
          <w:rFonts w:ascii="Times New Roman" w:hAnsi="Times New Roman" w:cs="Times New Roman"/>
          <w:i/>
          <w:sz w:val="24"/>
          <w:szCs w:val="24"/>
        </w:rPr>
        <w:lastRenderedPageBreak/>
        <w:t>post-</w:t>
      </w:r>
      <w:proofErr w:type="spellStart"/>
      <w:r w:rsidRPr="00085379">
        <w:rPr>
          <w:rFonts w:ascii="Times New Roman" w:hAnsi="Times New Roman" w:cs="Times New Roman"/>
          <w:i/>
          <w:sz w:val="24"/>
          <w:szCs w:val="24"/>
        </w:rPr>
        <w:t>Acordada</w:t>
      </w:r>
      <w:proofErr w:type="spellEnd"/>
      <w:r w:rsidRPr="00085379">
        <w:rPr>
          <w:rStyle w:val="EndnoteReference"/>
          <w:rFonts w:ascii="Times New Roman" w:hAnsi="Times New Roman" w:cs="Times New Roman"/>
          <w:sz w:val="24"/>
          <w:szCs w:val="24"/>
        </w:rPr>
        <w:endnoteReference w:id="83"/>
      </w:r>
      <w:r w:rsidRPr="00085379">
        <w:rPr>
          <w:rFonts w:ascii="Times New Roman" w:hAnsi="Times New Roman" w:cs="Times New Roman"/>
          <w:sz w:val="24"/>
          <w:szCs w:val="24"/>
        </w:rPr>
        <w:t xml:space="preserve"> nor</w:t>
      </w:r>
      <w:proofErr w:type="gramEnd"/>
      <w:r w:rsidRPr="00085379">
        <w:rPr>
          <w:rFonts w:ascii="Times New Roman" w:hAnsi="Times New Roman" w:cs="Times New Roman"/>
          <w:sz w:val="24"/>
          <w:szCs w:val="24"/>
        </w:rPr>
        <w:t xml:space="preserve"> that the quality of the opinions had improved. In addition, only a couple of interviewees believed that CSJN decreased case duration post-</w:t>
      </w:r>
      <w:proofErr w:type="spellStart"/>
      <w:r w:rsidRPr="00085379">
        <w:rPr>
          <w:rFonts w:ascii="Times New Roman" w:hAnsi="Times New Roman" w:cs="Times New Roman"/>
          <w:i/>
          <w:sz w:val="24"/>
          <w:szCs w:val="24"/>
        </w:rPr>
        <w:t>Acordada</w:t>
      </w:r>
      <w:proofErr w:type="spellEnd"/>
      <w:r w:rsidRPr="00085379">
        <w:rPr>
          <w:rFonts w:ascii="Times New Roman" w:hAnsi="Times New Roman" w:cs="Times New Roman"/>
          <w:sz w:val="24"/>
          <w:szCs w:val="24"/>
        </w:rPr>
        <w:t>, while several others believed it remained the same.</w:t>
      </w:r>
      <w:r w:rsidRPr="00085379">
        <w:rPr>
          <w:rStyle w:val="EndnoteReference"/>
          <w:rFonts w:ascii="Times New Roman" w:hAnsi="Times New Roman" w:cs="Times New Roman"/>
          <w:sz w:val="24"/>
          <w:szCs w:val="24"/>
        </w:rPr>
        <w:endnoteReference w:id="84"/>
      </w:r>
      <w:r w:rsidRPr="00085379">
        <w:rPr>
          <w:rFonts w:ascii="Times New Roman" w:hAnsi="Times New Roman" w:cs="Times New Roman"/>
          <w:sz w:val="24"/>
          <w:szCs w:val="24"/>
        </w:rPr>
        <w:t xml:space="preserve"> Overall, the duration results and the qualitative information we gathered suggest that CSJN has yet to take full advantage of </w:t>
      </w:r>
      <w:proofErr w:type="spellStart"/>
      <w:r w:rsidRPr="00085379">
        <w:rPr>
          <w:rFonts w:ascii="Times New Roman" w:hAnsi="Times New Roman" w:cs="Times New Roman"/>
          <w:i/>
          <w:sz w:val="24"/>
          <w:szCs w:val="24"/>
        </w:rPr>
        <w:t>Acordada</w:t>
      </w:r>
      <w:r w:rsidRPr="00085379">
        <w:rPr>
          <w:rFonts w:ascii="Times New Roman" w:hAnsi="Times New Roman" w:cs="Times New Roman"/>
          <w:sz w:val="24"/>
          <w:szCs w:val="24"/>
        </w:rPr>
        <w:t>’s</w:t>
      </w:r>
      <w:proofErr w:type="spellEnd"/>
      <w:r w:rsidRPr="00085379">
        <w:rPr>
          <w:rFonts w:ascii="Times New Roman" w:hAnsi="Times New Roman" w:cs="Times New Roman"/>
          <w:sz w:val="24"/>
          <w:szCs w:val="24"/>
        </w:rPr>
        <w:t xml:space="preserve"> possibilities.</w:t>
      </w:r>
      <w:r w:rsidRPr="00085379">
        <w:rPr>
          <w:rStyle w:val="EndnoteReference"/>
          <w:rFonts w:ascii="Times New Roman" w:hAnsi="Times New Roman" w:cs="Times New Roman"/>
          <w:sz w:val="24"/>
          <w:szCs w:val="24"/>
        </w:rPr>
        <w:endnoteReference w:id="85"/>
      </w:r>
      <w:r w:rsidRPr="00085379">
        <w:rPr>
          <w:rFonts w:ascii="Times New Roman" w:hAnsi="Times New Roman" w:cs="Times New Roman"/>
          <w:sz w:val="24"/>
          <w:szCs w:val="24"/>
        </w:rPr>
        <w:t xml:space="preserve"> </w:t>
      </w:r>
    </w:p>
    <w:p w14:paraId="0DCC0769" w14:textId="77777777" w:rsidR="00AA6FBE" w:rsidRDefault="00AA6FBE" w:rsidP="00085379">
      <w:pPr>
        <w:spacing w:line="480" w:lineRule="auto"/>
        <w:rPr>
          <w:rFonts w:ascii="Times New Roman" w:hAnsi="Times New Roman" w:cs="Times New Roman"/>
          <w:b/>
          <w:bCs/>
          <w:smallCaps/>
          <w:sz w:val="24"/>
          <w:szCs w:val="24"/>
        </w:rPr>
      </w:pPr>
      <w:r w:rsidRPr="00085379">
        <w:rPr>
          <w:rFonts w:ascii="Times New Roman" w:hAnsi="Times New Roman" w:cs="Times New Roman"/>
          <w:b/>
          <w:bCs/>
          <w:smallCaps/>
          <w:sz w:val="24"/>
          <w:szCs w:val="24"/>
        </w:rPr>
        <w:t>Annex</w:t>
      </w:r>
      <w:r w:rsidR="00DD7620">
        <w:rPr>
          <w:rFonts w:ascii="Times New Roman" w:hAnsi="Times New Roman" w:cs="Times New Roman"/>
          <w:b/>
          <w:bCs/>
          <w:smallCaps/>
          <w:sz w:val="24"/>
          <w:szCs w:val="24"/>
        </w:rPr>
        <w:t xml:space="preserve">: </w:t>
      </w:r>
      <w:r w:rsidR="00B53547">
        <w:rPr>
          <w:rFonts w:ascii="Times New Roman" w:hAnsi="Times New Roman" w:cs="Times New Roman"/>
          <w:b/>
          <w:bCs/>
          <w:smallCaps/>
          <w:sz w:val="24"/>
          <w:szCs w:val="24"/>
        </w:rPr>
        <w:t>Figures</w:t>
      </w:r>
      <w:r w:rsidR="00DD7620">
        <w:rPr>
          <w:rFonts w:ascii="Times New Roman" w:hAnsi="Times New Roman" w:cs="Times New Roman"/>
          <w:b/>
          <w:bCs/>
          <w:smallCaps/>
          <w:sz w:val="24"/>
          <w:szCs w:val="24"/>
        </w:rPr>
        <w:t xml:space="preserve"> and Tables</w:t>
      </w:r>
    </w:p>
    <w:p w14:paraId="6744FB4B" w14:textId="77777777" w:rsidR="00AA6FBE" w:rsidRPr="00DE3A10" w:rsidRDefault="00AA6FBE" w:rsidP="00085379">
      <w:pPr>
        <w:spacing w:line="480" w:lineRule="auto"/>
        <w:rPr>
          <w:rFonts w:ascii="Times New Roman" w:hAnsi="Times New Roman" w:cs="Times New Roman"/>
          <w:b/>
          <w:sz w:val="20"/>
          <w:szCs w:val="20"/>
        </w:rPr>
      </w:pPr>
      <w:r w:rsidRPr="00DE3A10">
        <w:rPr>
          <w:rFonts w:ascii="Times New Roman" w:hAnsi="Times New Roman" w:cs="Times New Roman"/>
          <w:b/>
          <w:sz w:val="20"/>
          <w:szCs w:val="20"/>
        </w:rPr>
        <w:t xml:space="preserve">Table </w:t>
      </w:r>
      <w:r w:rsidR="00FD7C4D">
        <w:rPr>
          <w:rFonts w:ascii="Times New Roman" w:hAnsi="Times New Roman" w:cs="Times New Roman"/>
          <w:b/>
          <w:sz w:val="20"/>
          <w:szCs w:val="20"/>
        </w:rPr>
        <w:t>A-1</w:t>
      </w:r>
      <w:r w:rsidRPr="00DE3A10">
        <w:rPr>
          <w:rFonts w:ascii="Times New Roman" w:hAnsi="Times New Roman" w:cs="Times New Roman"/>
          <w:b/>
          <w:sz w:val="20"/>
          <w:szCs w:val="20"/>
        </w:rPr>
        <w:t>: Number of decisions by subject area</w:t>
      </w:r>
    </w:p>
    <w:tbl>
      <w:tblPr>
        <w:tblStyle w:val="GridTable5Dark"/>
        <w:tblW w:w="6820" w:type="dxa"/>
        <w:tblLook w:val="0420" w:firstRow="1" w:lastRow="0" w:firstColumn="0" w:lastColumn="0" w:noHBand="0" w:noVBand="1"/>
      </w:tblPr>
      <w:tblGrid>
        <w:gridCol w:w="2268"/>
        <w:gridCol w:w="2415"/>
        <w:gridCol w:w="2137"/>
      </w:tblGrid>
      <w:tr w:rsidR="00AA6FBE" w:rsidRPr="00085379" w14:paraId="778275D3" w14:textId="77777777" w:rsidTr="001B371D">
        <w:trPr>
          <w:cnfStyle w:val="100000000000" w:firstRow="1" w:lastRow="0" w:firstColumn="0" w:lastColumn="0" w:oddVBand="0" w:evenVBand="0" w:oddHBand="0" w:evenHBand="0" w:firstRowFirstColumn="0" w:firstRowLastColumn="0" w:lastRowFirstColumn="0" w:lastRowLastColumn="0"/>
          <w:trHeight w:val="20"/>
        </w:trPr>
        <w:tc>
          <w:tcPr>
            <w:tcW w:w="2268" w:type="dxa"/>
            <w:noWrap/>
            <w:vAlign w:val="center"/>
            <w:hideMark/>
          </w:tcPr>
          <w:p w14:paraId="5C695645" w14:textId="77777777" w:rsidR="00AA6FBE" w:rsidRPr="00DE3A10" w:rsidRDefault="00AA6FBE" w:rsidP="00085379">
            <w:pPr>
              <w:spacing w:line="480" w:lineRule="auto"/>
              <w:jc w:val="center"/>
              <w:rPr>
                <w:rFonts w:ascii="Times New Roman" w:eastAsia="Times New Roman" w:hAnsi="Times New Roman" w:cs="Times New Roman"/>
                <w:b w:val="0"/>
                <w:bCs w:val="0"/>
                <w:color w:val="FFFFFF"/>
                <w:sz w:val="18"/>
                <w:szCs w:val="18"/>
                <w:lang w:eastAsia="es-AR"/>
              </w:rPr>
            </w:pPr>
            <w:r w:rsidRPr="00DE3A10">
              <w:rPr>
                <w:rFonts w:ascii="Times New Roman" w:eastAsia="Times New Roman" w:hAnsi="Times New Roman" w:cs="Times New Roman"/>
                <w:b w:val="0"/>
                <w:bCs w:val="0"/>
                <w:color w:val="FFFFFF"/>
                <w:sz w:val="18"/>
                <w:szCs w:val="18"/>
                <w:lang w:eastAsia="es-AR"/>
              </w:rPr>
              <w:t>Subject area</w:t>
            </w:r>
          </w:p>
        </w:tc>
        <w:tc>
          <w:tcPr>
            <w:tcW w:w="2415" w:type="dxa"/>
            <w:vAlign w:val="center"/>
            <w:hideMark/>
          </w:tcPr>
          <w:p w14:paraId="501F6FBB" w14:textId="77777777" w:rsidR="00AA6FBE" w:rsidRPr="00DE3A10" w:rsidRDefault="00AA6FBE" w:rsidP="00085379">
            <w:pPr>
              <w:spacing w:line="480" w:lineRule="auto"/>
              <w:jc w:val="center"/>
              <w:rPr>
                <w:rFonts w:ascii="Times New Roman" w:eastAsia="Times New Roman" w:hAnsi="Times New Roman" w:cs="Times New Roman"/>
                <w:b w:val="0"/>
                <w:bCs w:val="0"/>
                <w:color w:val="FFFFFF"/>
                <w:sz w:val="18"/>
                <w:szCs w:val="18"/>
                <w:lang w:eastAsia="es-AR"/>
              </w:rPr>
            </w:pPr>
            <w:r w:rsidRPr="00DE3A10">
              <w:rPr>
                <w:rFonts w:ascii="Times New Roman" w:eastAsia="Times New Roman" w:hAnsi="Times New Roman" w:cs="Times New Roman"/>
                <w:b w:val="0"/>
                <w:bCs w:val="0"/>
                <w:color w:val="FFFFFF"/>
                <w:sz w:val="18"/>
                <w:szCs w:val="18"/>
                <w:lang w:eastAsia="es-AR"/>
              </w:rPr>
              <w:t>Total amount of cases with each sub area</w:t>
            </w:r>
          </w:p>
        </w:tc>
        <w:tc>
          <w:tcPr>
            <w:tcW w:w="2137" w:type="dxa"/>
            <w:vAlign w:val="center"/>
            <w:hideMark/>
          </w:tcPr>
          <w:p w14:paraId="610E2A87" w14:textId="77777777" w:rsidR="00AA6FBE" w:rsidRPr="00DE3A10" w:rsidRDefault="00AA6FBE" w:rsidP="00085379">
            <w:pPr>
              <w:spacing w:line="480" w:lineRule="auto"/>
              <w:jc w:val="center"/>
              <w:rPr>
                <w:rFonts w:ascii="Times New Roman" w:eastAsia="Times New Roman" w:hAnsi="Times New Roman" w:cs="Times New Roman"/>
                <w:b w:val="0"/>
                <w:bCs w:val="0"/>
                <w:color w:val="FFFFFF"/>
                <w:sz w:val="18"/>
                <w:szCs w:val="18"/>
                <w:lang w:eastAsia="es-AR"/>
              </w:rPr>
            </w:pPr>
            <w:r w:rsidRPr="00DE3A10">
              <w:rPr>
                <w:rFonts w:ascii="Times New Roman" w:eastAsia="Times New Roman" w:hAnsi="Times New Roman" w:cs="Times New Roman"/>
                <w:b w:val="0"/>
                <w:bCs w:val="0"/>
                <w:color w:val="FFFFFF"/>
                <w:sz w:val="18"/>
                <w:szCs w:val="18"/>
                <w:lang w:eastAsia="es-AR"/>
              </w:rPr>
              <w:t>Specialized Judicial Department</w:t>
            </w:r>
          </w:p>
        </w:tc>
      </w:tr>
      <w:tr w:rsidR="00AA6FBE" w:rsidRPr="00085379" w14:paraId="3FB4087E" w14:textId="77777777" w:rsidTr="001B371D">
        <w:trPr>
          <w:cnfStyle w:val="000000100000" w:firstRow="0" w:lastRow="0" w:firstColumn="0" w:lastColumn="0" w:oddVBand="0" w:evenVBand="0" w:oddHBand="1" w:evenHBand="0" w:firstRowFirstColumn="0" w:firstRowLastColumn="0" w:lastRowFirstColumn="0" w:lastRowLastColumn="0"/>
          <w:trHeight w:val="20"/>
        </w:trPr>
        <w:tc>
          <w:tcPr>
            <w:tcW w:w="2268" w:type="dxa"/>
            <w:noWrap/>
            <w:hideMark/>
          </w:tcPr>
          <w:p w14:paraId="62EF185C" w14:textId="77777777" w:rsidR="00AA6FBE" w:rsidRPr="00DE3A10" w:rsidRDefault="00AA6FBE" w:rsidP="00085379">
            <w:pPr>
              <w:spacing w:line="480" w:lineRule="auto"/>
              <w:rPr>
                <w:rFonts w:ascii="Times New Roman" w:eastAsia="Times New Roman" w:hAnsi="Times New Roman" w:cs="Times New Roman"/>
                <w:color w:val="000000"/>
                <w:sz w:val="18"/>
                <w:szCs w:val="18"/>
                <w:lang w:eastAsia="es-AR"/>
              </w:rPr>
            </w:pPr>
            <w:r w:rsidRPr="00DE3A10">
              <w:rPr>
                <w:rFonts w:ascii="Times New Roman" w:eastAsia="Times New Roman" w:hAnsi="Times New Roman" w:cs="Times New Roman"/>
                <w:color w:val="000000"/>
                <w:sz w:val="18"/>
                <w:szCs w:val="18"/>
                <w:lang w:eastAsia="es-AR"/>
              </w:rPr>
              <w:t>Constitutional Law</w:t>
            </w:r>
          </w:p>
        </w:tc>
        <w:tc>
          <w:tcPr>
            <w:tcW w:w="2415" w:type="dxa"/>
            <w:noWrap/>
            <w:hideMark/>
          </w:tcPr>
          <w:p w14:paraId="0986733E"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eastAsia="es-AR"/>
              </w:rPr>
            </w:pPr>
            <w:r w:rsidRPr="00DE3A10">
              <w:rPr>
                <w:rFonts w:ascii="Times New Roman" w:eastAsia="Times New Roman" w:hAnsi="Times New Roman" w:cs="Times New Roman"/>
                <w:color w:val="000000"/>
                <w:sz w:val="18"/>
                <w:szCs w:val="18"/>
                <w:lang w:eastAsia="es-AR"/>
              </w:rPr>
              <w:t>5</w:t>
            </w:r>
          </w:p>
        </w:tc>
        <w:tc>
          <w:tcPr>
            <w:tcW w:w="2137" w:type="dxa"/>
            <w:noWrap/>
            <w:hideMark/>
          </w:tcPr>
          <w:p w14:paraId="05FFC1A2"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eastAsia="es-AR"/>
              </w:rPr>
            </w:pPr>
            <w:r w:rsidRPr="00DE3A10">
              <w:rPr>
                <w:rFonts w:ascii="Times New Roman" w:eastAsia="Times New Roman" w:hAnsi="Times New Roman" w:cs="Times New Roman"/>
                <w:color w:val="000000"/>
                <w:sz w:val="18"/>
                <w:szCs w:val="18"/>
                <w:lang w:eastAsia="es-AR"/>
              </w:rPr>
              <w:t>4</w:t>
            </w:r>
          </w:p>
        </w:tc>
      </w:tr>
      <w:tr w:rsidR="00AA6FBE" w:rsidRPr="00085379" w14:paraId="6BDA7315" w14:textId="77777777" w:rsidTr="001B371D">
        <w:trPr>
          <w:trHeight w:val="20"/>
        </w:trPr>
        <w:tc>
          <w:tcPr>
            <w:tcW w:w="2268" w:type="dxa"/>
            <w:noWrap/>
            <w:hideMark/>
          </w:tcPr>
          <w:p w14:paraId="78B69CCA" w14:textId="77777777" w:rsidR="00AA6FBE" w:rsidRPr="00DE3A10" w:rsidRDefault="00AA6FBE" w:rsidP="00085379">
            <w:pPr>
              <w:spacing w:line="480" w:lineRule="auto"/>
              <w:rPr>
                <w:rFonts w:ascii="Times New Roman" w:eastAsia="Times New Roman" w:hAnsi="Times New Roman" w:cs="Times New Roman"/>
                <w:color w:val="000000"/>
                <w:sz w:val="18"/>
                <w:szCs w:val="18"/>
                <w:lang w:eastAsia="es-AR"/>
              </w:rPr>
            </w:pPr>
            <w:r w:rsidRPr="00DE3A10">
              <w:rPr>
                <w:rFonts w:ascii="Times New Roman" w:eastAsia="Times New Roman" w:hAnsi="Times New Roman" w:cs="Times New Roman"/>
                <w:color w:val="000000"/>
                <w:sz w:val="18"/>
                <w:szCs w:val="18"/>
                <w:lang w:eastAsia="es-AR"/>
              </w:rPr>
              <w:t>Property Law</w:t>
            </w:r>
          </w:p>
        </w:tc>
        <w:tc>
          <w:tcPr>
            <w:tcW w:w="2415" w:type="dxa"/>
            <w:noWrap/>
            <w:hideMark/>
          </w:tcPr>
          <w:p w14:paraId="10A9FB7B"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eastAsia="es-AR"/>
              </w:rPr>
            </w:pPr>
            <w:r w:rsidRPr="00DE3A10">
              <w:rPr>
                <w:rFonts w:ascii="Times New Roman" w:eastAsia="Times New Roman" w:hAnsi="Times New Roman" w:cs="Times New Roman"/>
                <w:color w:val="000000"/>
                <w:sz w:val="18"/>
                <w:szCs w:val="18"/>
                <w:lang w:eastAsia="es-AR"/>
              </w:rPr>
              <w:t>56</w:t>
            </w:r>
          </w:p>
        </w:tc>
        <w:tc>
          <w:tcPr>
            <w:tcW w:w="2137" w:type="dxa"/>
            <w:noWrap/>
            <w:hideMark/>
          </w:tcPr>
          <w:p w14:paraId="6421482B"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7</w:t>
            </w:r>
          </w:p>
        </w:tc>
      </w:tr>
      <w:tr w:rsidR="00AA6FBE" w:rsidRPr="00085379" w14:paraId="19034115" w14:textId="77777777" w:rsidTr="001B371D">
        <w:trPr>
          <w:cnfStyle w:val="000000100000" w:firstRow="0" w:lastRow="0" w:firstColumn="0" w:lastColumn="0" w:oddVBand="0" w:evenVBand="0" w:oddHBand="1" w:evenHBand="0" w:firstRowFirstColumn="0" w:firstRowLastColumn="0" w:lastRowFirstColumn="0" w:lastRowLastColumn="0"/>
          <w:trHeight w:val="20"/>
        </w:trPr>
        <w:tc>
          <w:tcPr>
            <w:tcW w:w="2268" w:type="dxa"/>
            <w:noWrap/>
            <w:hideMark/>
          </w:tcPr>
          <w:p w14:paraId="367DE830" w14:textId="77777777" w:rsidR="00AA6FBE" w:rsidRPr="00DE3A10" w:rsidRDefault="00AA6FBE"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Family Law </w:t>
            </w:r>
          </w:p>
        </w:tc>
        <w:tc>
          <w:tcPr>
            <w:tcW w:w="2415" w:type="dxa"/>
            <w:noWrap/>
            <w:hideMark/>
          </w:tcPr>
          <w:p w14:paraId="17414126"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15</w:t>
            </w:r>
          </w:p>
        </w:tc>
        <w:tc>
          <w:tcPr>
            <w:tcW w:w="2137" w:type="dxa"/>
            <w:noWrap/>
            <w:hideMark/>
          </w:tcPr>
          <w:p w14:paraId="3D6CFBC3"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2</w:t>
            </w:r>
          </w:p>
        </w:tc>
      </w:tr>
      <w:tr w:rsidR="00AA6FBE" w:rsidRPr="00085379" w14:paraId="032334CE" w14:textId="77777777" w:rsidTr="001B371D">
        <w:trPr>
          <w:trHeight w:val="20"/>
        </w:trPr>
        <w:tc>
          <w:tcPr>
            <w:tcW w:w="2268" w:type="dxa"/>
            <w:noWrap/>
            <w:hideMark/>
          </w:tcPr>
          <w:p w14:paraId="2CE482EB" w14:textId="77777777" w:rsidR="00AA6FBE" w:rsidRPr="00DE3A10" w:rsidRDefault="00AA6FBE"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Bankruptcy Law </w:t>
            </w:r>
          </w:p>
        </w:tc>
        <w:tc>
          <w:tcPr>
            <w:tcW w:w="2415" w:type="dxa"/>
            <w:noWrap/>
            <w:hideMark/>
          </w:tcPr>
          <w:p w14:paraId="557F455D"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19</w:t>
            </w:r>
          </w:p>
        </w:tc>
        <w:tc>
          <w:tcPr>
            <w:tcW w:w="2137" w:type="dxa"/>
            <w:noWrap/>
            <w:hideMark/>
          </w:tcPr>
          <w:p w14:paraId="0E94F261"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1</w:t>
            </w:r>
          </w:p>
        </w:tc>
      </w:tr>
      <w:tr w:rsidR="00AA6FBE" w:rsidRPr="00085379" w14:paraId="108B2CC6" w14:textId="77777777" w:rsidTr="001B371D">
        <w:trPr>
          <w:cnfStyle w:val="000000100000" w:firstRow="0" w:lastRow="0" w:firstColumn="0" w:lastColumn="0" w:oddVBand="0" w:evenVBand="0" w:oddHBand="1" w:evenHBand="0" w:firstRowFirstColumn="0" w:firstRowLastColumn="0" w:lastRowFirstColumn="0" w:lastRowLastColumn="0"/>
          <w:trHeight w:val="20"/>
        </w:trPr>
        <w:tc>
          <w:tcPr>
            <w:tcW w:w="2268" w:type="dxa"/>
            <w:noWrap/>
            <w:hideMark/>
          </w:tcPr>
          <w:p w14:paraId="78AD73D6" w14:textId="77777777" w:rsidR="00AA6FBE" w:rsidRPr="00DE3A10" w:rsidRDefault="00AA6FBE"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Criminal law </w:t>
            </w:r>
          </w:p>
        </w:tc>
        <w:tc>
          <w:tcPr>
            <w:tcW w:w="2415" w:type="dxa"/>
            <w:noWrap/>
            <w:hideMark/>
          </w:tcPr>
          <w:p w14:paraId="3141D101"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76</w:t>
            </w:r>
          </w:p>
        </w:tc>
        <w:tc>
          <w:tcPr>
            <w:tcW w:w="2137" w:type="dxa"/>
            <w:noWrap/>
            <w:hideMark/>
          </w:tcPr>
          <w:p w14:paraId="44FBF24C"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3</w:t>
            </w:r>
          </w:p>
        </w:tc>
      </w:tr>
      <w:tr w:rsidR="00AA6FBE" w:rsidRPr="00085379" w14:paraId="654A83C8" w14:textId="77777777" w:rsidTr="001B371D">
        <w:trPr>
          <w:trHeight w:val="20"/>
        </w:trPr>
        <w:tc>
          <w:tcPr>
            <w:tcW w:w="2268" w:type="dxa"/>
            <w:noWrap/>
            <w:hideMark/>
          </w:tcPr>
          <w:p w14:paraId="46414F44" w14:textId="77777777" w:rsidR="00AA6FBE" w:rsidRPr="00DE3A10" w:rsidRDefault="00AA6FBE"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Criminal Procedure </w:t>
            </w:r>
          </w:p>
        </w:tc>
        <w:tc>
          <w:tcPr>
            <w:tcW w:w="2415" w:type="dxa"/>
            <w:noWrap/>
            <w:hideMark/>
          </w:tcPr>
          <w:p w14:paraId="528ACB67"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40</w:t>
            </w:r>
          </w:p>
        </w:tc>
        <w:tc>
          <w:tcPr>
            <w:tcW w:w="2137" w:type="dxa"/>
            <w:noWrap/>
            <w:hideMark/>
          </w:tcPr>
          <w:p w14:paraId="31AA173E"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3</w:t>
            </w:r>
          </w:p>
        </w:tc>
      </w:tr>
      <w:tr w:rsidR="00AA6FBE" w:rsidRPr="00085379" w14:paraId="24965765" w14:textId="77777777" w:rsidTr="001B371D">
        <w:trPr>
          <w:cnfStyle w:val="000000100000" w:firstRow="0" w:lastRow="0" w:firstColumn="0" w:lastColumn="0" w:oddVBand="0" w:evenVBand="0" w:oddHBand="1" w:evenHBand="0" w:firstRowFirstColumn="0" w:firstRowLastColumn="0" w:lastRowFirstColumn="0" w:lastRowLastColumn="0"/>
          <w:trHeight w:val="20"/>
        </w:trPr>
        <w:tc>
          <w:tcPr>
            <w:tcW w:w="2268" w:type="dxa"/>
            <w:noWrap/>
            <w:hideMark/>
          </w:tcPr>
          <w:p w14:paraId="76AE7CD3" w14:textId="77777777" w:rsidR="00AA6FBE" w:rsidRPr="00DE3A10" w:rsidRDefault="00AA6FBE"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International law </w:t>
            </w:r>
          </w:p>
        </w:tc>
        <w:tc>
          <w:tcPr>
            <w:tcW w:w="2415" w:type="dxa"/>
            <w:noWrap/>
            <w:hideMark/>
          </w:tcPr>
          <w:p w14:paraId="1EF79D72"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0</w:t>
            </w:r>
          </w:p>
        </w:tc>
        <w:tc>
          <w:tcPr>
            <w:tcW w:w="2137" w:type="dxa"/>
            <w:noWrap/>
            <w:hideMark/>
          </w:tcPr>
          <w:p w14:paraId="1C5FDC62" w14:textId="77777777" w:rsidR="00AA6FBE" w:rsidRPr="00DE3A10" w:rsidRDefault="00AA6FBE" w:rsidP="00085379">
            <w:pPr>
              <w:spacing w:line="480" w:lineRule="auto"/>
              <w:jc w:val="right"/>
              <w:rPr>
                <w:rFonts w:ascii="Times New Roman" w:eastAsia="Times New Roman" w:hAnsi="Times New Roman" w:cs="Times New Roman"/>
                <w:sz w:val="18"/>
                <w:szCs w:val="18"/>
                <w:lang w:val="es-AR" w:eastAsia="es-AR"/>
              </w:rPr>
            </w:pPr>
            <w:r w:rsidRPr="00DE3A10">
              <w:rPr>
                <w:rFonts w:ascii="Times New Roman" w:eastAsia="Times New Roman" w:hAnsi="Times New Roman" w:cs="Times New Roman"/>
                <w:sz w:val="18"/>
                <w:szCs w:val="18"/>
                <w:lang w:val="es-AR" w:eastAsia="es-AR"/>
              </w:rPr>
              <w:t>N/C</w:t>
            </w:r>
          </w:p>
        </w:tc>
      </w:tr>
      <w:tr w:rsidR="00AA6FBE" w:rsidRPr="00085379" w14:paraId="25194BFD" w14:textId="77777777" w:rsidTr="001B371D">
        <w:trPr>
          <w:trHeight w:val="20"/>
        </w:trPr>
        <w:tc>
          <w:tcPr>
            <w:tcW w:w="2268" w:type="dxa"/>
            <w:noWrap/>
            <w:hideMark/>
          </w:tcPr>
          <w:p w14:paraId="36A39595" w14:textId="77777777" w:rsidR="00AA6FBE" w:rsidRPr="00DE3A10" w:rsidRDefault="00AA6FBE"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Human rights law </w:t>
            </w:r>
          </w:p>
        </w:tc>
        <w:tc>
          <w:tcPr>
            <w:tcW w:w="2415" w:type="dxa"/>
            <w:noWrap/>
            <w:hideMark/>
          </w:tcPr>
          <w:p w14:paraId="3CAE5171"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5</w:t>
            </w:r>
          </w:p>
        </w:tc>
        <w:tc>
          <w:tcPr>
            <w:tcW w:w="2137" w:type="dxa"/>
            <w:noWrap/>
            <w:hideMark/>
          </w:tcPr>
          <w:p w14:paraId="06772D80" w14:textId="77777777" w:rsidR="00AA6FBE" w:rsidRPr="00DE3A10" w:rsidRDefault="00AA6FBE" w:rsidP="00085379">
            <w:pPr>
              <w:spacing w:line="480" w:lineRule="auto"/>
              <w:jc w:val="right"/>
              <w:rPr>
                <w:rFonts w:ascii="Times New Roman" w:eastAsia="Times New Roman" w:hAnsi="Times New Roman" w:cs="Times New Roman"/>
                <w:sz w:val="18"/>
                <w:szCs w:val="18"/>
                <w:lang w:val="es-AR" w:eastAsia="es-AR"/>
              </w:rPr>
            </w:pPr>
            <w:r w:rsidRPr="00DE3A10">
              <w:rPr>
                <w:rFonts w:ascii="Times New Roman" w:eastAsia="Times New Roman" w:hAnsi="Times New Roman" w:cs="Times New Roman"/>
                <w:sz w:val="18"/>
                <w:szCs w:val="18"/>
                <w:lang w:val="es-AR" w:eastAsia="es-AR"/>
              </w:rPr>
              <w:t>5</w:t>
            </w:r>
          </w:p>
        </w:tc>
      </w:tr>
      <w:tr w:rsidR="00AA6FBE" w:rsidRPr="00085379" w14:paraId="3D870390" w14:textId="77777777" w:rsidTr="001B371D">
        <w:trPr>
          <w:cnfStyle w:val="000000100000" w:firstRow="0" w:lastRow="0" w:firstColumn="0" w:lastColumn="0" w:oddVBand="0" w:evenVBand="0" w:oddHBand="1" w:evenHBand="0" w:firstRowFirstColumn="0" w:firstRowLastColumn="0" w:lastRowFirstColumn="0" w:lastRowLastColumn="0"/>
          <w:trHeight w:val="20"/>
        </w:trPr>
        <w:tc>
          <w:tcPr>
            <w:tcW w:w="2268" w:type="dxa"/>
            <w:noWrap/>
            <w:hideMark/>
          </w:tcPr>
          <w:p w14:paraId="5684DD22" w14:textId="77777777" w:rsidR="00AA6FBE" w:rsidRPr="00DE3A10" w:rsidRDefault="00AA6FBE"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Contract Law </w:t>
            </w:r>
          </w:p>
        </w:tc>
        <w:tc>
          <w:tcPr>
            <w:tcW w:w="2415" w:type="dxa"/>
            <w:noWrap/>
            <w:hideMark/>
          </w:tcPr>
          <w:p w14:paraId="42245258"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38</w:t>
            </w:r>
          </w:p>
        </w:tc>
        <w:tc>
          <w:tcPr>
            <w:tcW w:w="2137" w:type="dxa"/>
            <w:noWrap/>
            <w:hideMark/>
          </w:tcPr>
          <w:p w14:paraId="0677D084"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1</w:t>
            </w:r>
          </w:p>
        </w:tc>
      </w:tr>
      <w:tr w:rsidR="00AA6FBE" w:rsidRPr="00085379" w14:paraId="6DF58FC1" w14:textId="77777777" w:rsidTr="001B371D">
        <w:trPr>
          <w:trHeight w:val="20"/>
        </w:trPr>
        <w:tc>
          <w:tcPr>
            <w:tcW w:w="2268" w:type="dxa"/>
            <w:noWrap/>
            <w:hideMark/>
          </w:tcPr>
          <w:p w14:paraId="7FA07A35" w14:textId="77777777" w:rsidR="00AA6FBE" w:rsidRPr="00DE3A10" w:rsidRDefault="00AA6FBE"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Insurance Law </w:t>
            </w:r>
          </w:p>
        </w:tc>
        <w:tc>
          <w:tcPr>
            <w:tcW w:w="2415" w:type="dxa"/>
            <w:noWrap/>
            <w:hideMark/>
          </w:tcPr>
          <w:p w14:paraId="4A7D4DB9"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4</w:t>
            </w:r>
          </w:p>
        </w:tc>
        <w:tc>
          <w:tcPr>
            <w:tcW w:w="2137" w:type="dxa"/>
            <w:noWrap/>
            <w:hideMark/>
          </w:tcPr>
          <w:p w14:paraId="441B7F75"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2</w:t>
            </w:r>
          </w:p>
        </w:tc>
      </w:tr>
      <w:tr w:rsidR="00AA6FBE" w:rsidRPr="00085379" w14:paraId="4D07F938" w14:textId="77777777" w:rsidTr="001B371D">
        <w:trPr>
          <w:cnfStyle w:val="000000100000" w:firstRow="0" w:lastRow="0" w:firstColumn="0" w:lastColumn="0" w:oddVBand="0" w:evenVBand="0" w:oddHBand="1" w:evenHBand="0" w:firstRowFirstColumn="0" w:firstRowLastColumn="0" w:lastRowFirstColumn="0" w:lastRowLastColumn="0"/>
          <w:trHeight w:val="20"/>
        </w:trPr>
        <w:tc>
          <w:tcPr>
            <w:tcW w:w="2268" w:type="dxa"/>
            <w:noWrap/>
            <w:hideMark/>
          </w:tcPr>
          <w:p w14:paraId="0098E0AB" w14:textId="77777777" w:rsidR="00AA6FBE" w:rsidRPr="00DE3A10" w:rsidRDefault="00AA6FBE"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Tax Law </w:t>
            </w:r>
          </w:p>
        </w:tc>
        <w:tc>
          <w:tcPr>
            <w:tcW w:w="2415" w:type="dxa"/>
            <w:noWrap/>
            <w:hideMark/>
          </w:tcPr>
          <w:p w14:paraId="03EFB5D9"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36</w:t>
            </w:r>
          </w:p>
        </w:tc>
        <w:tc>
          <w:tcPr>
            <w:tcW w:w="2137" w:type="dxa"/>
            <w:noWrap/>
            <w:hideMark/>
          </w:tcPr>
          <w:p w14:paraId="1E200261"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7</w:t>
            </w:r>
          </w:p>
        </w:tc>
      </w:tr>
      <w:tr w:rsidR="00AA6FBE" w:rsidRPr="00085379" w14:paraId="5058F884" w14:textId="77777777" w:rsidTr="001B371D">
        <w:trPr>
          <w:trHeight w:val="20"/>
        </w:trPr>
        <w:tc>
          <w:tcPr>
            <w:tcW w:w="2268" w:type="dxa"/>
            <w:noWrap/>
            <w:hideMark/>
          </w:tcPr>
          <w:p w14:paraId="45F0B9D0" w14:textId="77777777" w:rsidR="00AA6FBE" w:rsidRPr="00DE3A10" w:rsidRDefault="00AA6FBE"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Tort Law </w:t>
            </w:r>
          </w:p>
        </w:tc>
        <w:tc>
          <w:tcPr>
            <w:tcW w:w="2415" w:type="dxa"/>
            <w:noWrap/>
            <w:hideMark/>
          </w:tcPr>
          <w:p w14:paraId="3F154843"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102</w:t>
            </w:r>
          </w:p>
        </w:tc>
        <w:tc>
          <w:tcPr>
            <w:tcW w:w="2137" w:type="dxa"/>
            <w:noWrap/>
            <w:hideMark/>
          </w:tcPr>
          <w:p w14:paraId="2E821B2A"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2</w:t>
            </w:r>
          </w:p>
        </w:tc>
      </w:tr>
      <w:tr w:rsidR="00AA6FBE" w:rsidRPr="00085379" w14:paraId="71DB5743" w14:textId="77777777" w:rsidTr="001B371D">
        <w:trPr>
          <w:cnfStyle w:val="000000100000" w:firstRow="0" w:lastRow="0" w:firstColumn="0" w:lastColumn="0" w:oddVBand="0" w:evenVBand="0" w:oddHBand="1" w:evenHBand="0" w:firstRowFirstColumn="0" w:firstRowLastColumn="0" w:lastRowFirstColumn="0" w:lastRowLastColumn="0"/>
          <w:trHeight w:val="20"/>
        </w:trPr>
        <w:tc>
          <w:tcPr>
            <w:tcW w:w="2268" w:type="dxa"/>
            <w:noWrap/>
            <w:hideMark/>
          </w:tcPr>
          <w:p w14:paraId="0042CD21" w14:textId="77777777" w:rsidR="00AA6FBE" w:rsidRPr="00DE3A10" w:rsidRDefault="00AA6FBE"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Labour Law </w:t>
            </w:r>
          </w:p>
        </w:tc>
        <w:tc>
          <w:tcPr>
            <w:tcW w:w="2415" w:type="dxa"/>
            <w:noWrap/>
            <w:hideMark/>
          </w:tcPr>
          <w:p w14:paraId="1DC4110E"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434</w:t>
            </w:r>
          </w:p>
        </w:tc>
        <w:tc>
          <w:tcPr>
            <w:tcW w:w="2137" w:type="dxa"/>
            <w:noWrap/>
            <w:hideMark/>
          </w:tcPr>
          <w:p w14:paraId="05CF040F"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6</w:t>
            </w:r>
          </w:p>
        </w:tc>
      </w:tr>
      <w:tr w:rsidR="00AA6FBE" w:rsidRPr="00085379" w14:paraId="6BF346F4" w14:textId="77777777" w:rsidTr="001B371D">
        <w:trPr>
          <w:trHeight w:val="20"/>
        </w:trPr>
        <w:tc>
          <w:tcPr>
            <w:tcW w:w="2268" w:type="dxa"/>
            <w:noWrap/>
            <w:hideMark/>
          </w:tcPr>
          <w:p w14:paraId="06AF9ECD" w14:textId="77777777" w:rsidR="00AA6FBE" w:rsidRPr="00DE3A10" w:rsidRDefault="00AA6FBE"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Public law</w:t>
            </w:r>
          </w:p>
        </w:tc>
        <w:tc>
          <w:tcPr>
            <w:tcW w:w="2415" w:type="dxa"/>
            <w:noWrap/>
            <w:hideMark/>
          </w:tcPr>
          <w:p w14:paraId="1A6BE2E3"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175</w:t>
            </w:r>
          </w:p>
        </w:tc>
        <w:tc>
          <w:tcPr>
            <w:tcW w:w="2137" w:type="dxa"/>
            <w:noWrap/>
            <w:hideMark/>
          </w:tcPr>
          <w:p w14:paraId="37EBCBB9" w14:textId="77777777" w:rsidR="00AA6FBE" w:rsidRPr="00DE3A10" w:rsidRDefault="00AA6FBE" w:rsidP="00085379">
            <w:pPr>
              <w:spacing w:line="480" w:lineRule="auto"/>
              <w:jc w:val="right"/>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4</w:t>
            </w:r>
          </w:p>
        </w:tc>
      </w:tr>
    </w:tbl>
    <w:p w14:paraId="6EF5FB2B" w14:textId="77777777" w:rsidR="00AA6FBE" w:rsidRPr="00085379" w:rsidRDefault="00AA6FBE" w:rsidP="00085379">
      <w:pPr>
        <w:spacing w:line="480" w:lineRule="auto"/>
        <w:rPr>
          <w:rFonts w:ascii="Times New Roman" w:hAnsi="Times New Roman" w:cs="Times New Roman"/>
          <w:b/>
          <w:sz w:val="24"/>
          <w:szCs w:val="24"/>
        </w:rPr>
      </w:pPr>
    </w:p>
    <w:p w14:paraId="6DB19CA0" w14:textId="77777777" w:rsidR="00AA6FBE" w:rsidRPr="00DE3A10" w:rsidRDefault="00AA6FBE" w:rsidP="00085379">
      <w:pPr>
        <w:spacing w:line="480" w:lineRule="auto"/>
        <w:rPr>
          <w:rFonts w:ascii="Times New Roman" w:hAnsi="Times New Roman" w:cs="Times New Roman"/>
          <w:b/>
          <w:sz w:val="20"/>
          <w:szCs w:val="20"/>
        </w:rPr>
      </w:pPr>
      <w:r w:rsidRPr="00DE3A10">
        <w:rPr>
          <w:rFonts w:ascii="Times New Roman" w:hAnsi="Times New Roman" w:cs="Times New Roman"/>
          <w:b/>
          <w:sz w:val="20"/>
          <w:szCs w:val="20"/>
        </w:rPr>
        <w:lastRenderedPageBreak/>
        <w:t xml:space="preserve">Table </w:t>
      </w:r>
      <w:r w:rsidR="008D59CD">
        <w:rPr>
          <w:rFonts w:ascii="Times New Roman" w:hAnsi="Times New Roman" w:cs="Times New Roman"/>
          <w:b/>
          <w:sz w:val="20"/>
          <w:szCs w:val="20"/>
        </w:rPr>
        <w:t>A-2</w:t>
      </w:r>
      <w:r w:rsidRPr="00DE3A10">
        <w:rPr>
          <w:rFonts w:ascii="Times New Roman" w:hAnsi="Times New Roman" w:cs="Times New Roman"/>
          <w:b/>
          <w:sz w:val="20"/>
          <w:szCs w:val="20"/>
        </w:rPr>
        <w:t xml:space="preserve"> - List of interviewees</w:t>
      </w:r>
      <w:r w:rsidRPr="00DE3A10">
        <w:rPr>
          <w:rStyle w:val="EndnoteReference"/>
          <w:rFonts w:ascii="Times New Roman" w:hAnsi="Times New Roman" w:cs="Times New Roman"/>
          <w:b/>
          <w:sz w:val="20"/>
          <w:szCs w:val="20"/>
        </w:rPr>
        <w:endnoteReference w:customMarkFollows="1" w:id="86"/>
        <w:sym w:font="Symbol" w:char="F02A"/>
      </w:r>
    </w:p>
    <w:tbl>
      <w:tblPr>
        <w:tblStyle w:val="GridTable5Dark"/>
        <w:tblW w:w="5000" w:type="pct"/>
        <w:tblLook w:val="0420" w:firstRow="1" w:lastRow="0" w:firstColumn="0" w:lastColumn="0" w:noHBand="0" w:noVBand="1"/>
      </w:tblPr>
      <w:tblGrid>
        <w:gridCol w:w="2939"/>
        <w:gridCol w:w="5197"/>
      </w:tblGrid>
      <w:tr w:rsidR="00230ADA" w:rsidRPr="00085379" w14:paraId="67CAF620" w14:textId="77777777" w:rsidTr="001B371D">
        <w:trPr>
          <w:cnfStyle w:val="100000000000" w:firstRow="1" w:lastRow="0" w:firstColumn="0" w:lastColumn="0" w:oddVBand="0" w:evenVBand="0" w:oddHBand="0" w:evenHBand="0" w:firstRowFirstColumn="0" w:firstRowLastColumn="0" w:lastRowFirstColumn="0" w:lastRowLastColumn="0"/>
          <w:trHeight w:val="20"/>
        </w:trPr>
        <w:tc>
          <w:tcPr>
            <w:tcW w:w="1806" w:type="pct"/>
            <w:hideMark/>
          </w:tcPr>
          <w:p w14:paraId="51D297A4" w14:textId="77777777" w:rsidR="00230ADA" w:rsidRPr="00DE3A10" w:rsidRDefault="00230ADA" w:rsidP="00085379">
            <w:pPr>
              <w:spacing w:line="480" w:lineRule="auto"/>
              <w:rPr>
                <w:rFonts w:ascii="Times New Roman" w:eastAsia="Times New Roman" w:hAnsi="Times New Roman" w:cs="Times New Roman"/>
                <w:b w:val="0"/>
                <w:bCs w:val="0"/>
                <w:sz w:val="18"/>
                <w:szCs w:val="18"/>
                <w:lang w:val="es-AR" w:eastAsia="es-AR"/>
              </w:rPr>
            </w:pPr>
            <w:r w:rsidRPr="00DE3A10">
              <w:rPr>
                <w:rFonts w:ascii="Times New Roman" w:eastAsia="Times New Roman" w:hAnsi="Times New Roman" w:cs="Times New Roman"/>
                <w:b w:val="0"/>
                <w:bCs w:val="0"/>
                <w:sz w:val="18"/>
                <w:szCs w:val="18"/>
                <w:lang w:val="es-AR" w:eastAsia="es-AR"/>
              </w:rPr>
              <w:t>Name</w:t>
            </w:r>
          </w:p>
        </w:tc>
        <w:tc>
          <w:tcPr>
            <w:tcW w:w="3194" w:type="pct"/>
            <w:hideMark/>
          </w:tcPr>
          <w:p w14:paraId="17104F9D" w14:textId="77777777" w:rsidR="00230ADA" w:rsidRPr="00DE3A10" w:rsidRDefault="00230ADA" w:rsidP="00085379">
            <w:pPr>
              <w:spacing w:line="480" w:lineRule="auto"/>
              <w:rPr>
                <w:rFonts w:ascii="Times New Roman" w:eastAsia="Times New Roman" w:hAnsi="Times New Roman" w:cs="Times New Roman"/>
                <w:b w:val="0"/>
                <w:bCs w:val="0"/>
                <w:sz w:val="18"/>
                <w:szCs w:val="18"/>
                <w:lang w:val="es-AR" w:eastAsia="es-AR"/>
              </w:rPr>
            </w:pPr>
            <w:r w:rsidRPr="00DE3A10">
              <w:rPr>
                <w:rFonts w:ascii="Times New Roman" w:eastAsia="Times New Roman" w:hAnsi="Times New Roman" w:cs="Times New Roman"/>
                <w:b w:val="0"/>
                <w:bCs w:val="0"/>
                <w:sz w:val="18"/>
                <w:szCs w:val="18"/>
                <w:lang w:val="es-AR" w:eastAsia="es-AR"/>
              </w:rPr>
              <w:t>Position</w:t>
            </w:r>
          </w:p>
        </w:tc>
      </w:tr>
      <w:tr w:rsidR="00230ADA" w:rsidRPr="00C750D7" w14:paraId="48F33E7A" w14:textId="77777777" w:rsidTr="001B371D">
        <w:trPr>
          <w:cnfStyle w:val="000000100000" w:firstRow="0" w:lastRow="0" w:firstColumn="0" w:lastColumn="0" w:oddVBand="0" w:evenVBand="0" w:oddHBand="1" w:evenHBand="0" w:firstRowFirstColumn="0" w:firstRowLastColumn="0" w:lastRowFirstColumn="0" w:lastRowLastColumn="0"/>
          <w:trHeight w:val="20"/>
        </w:trPr>
        <w:tc>
          <w:tcPr>
            <w:tcW w:w="1806" w:type="pct"/>
            <w:noWrap/>
            <w:hideMark/>
          </w:tcPr>
          <w:p w14:paraId="70511D63"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Abritta, Cristian </w:t>
            </w:r>
          </w:p>
        </w:tc>
        <w:tc>
          <w:tcPr>
            <w:tcW w:w="3194" w:type="pct"/>
            <w:hideMark/>
          </w:tcPr>
          <w:p w14:paraId="72E15127"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Secretario - Corte Suprema de Justicia de la Nación</w:t>
            </w:r>
          </w:p>
        </w:tc>
      </w:tr>
      <w:tr w:rsidR="00230ADA" w:rsidRPr="00C750D7" w14:paraId="314665B1" w14:textId="77777777" w:rsidTr="001B371D">
        <w:trPr>
          <w:trHeight w:val="20"/>
        </w:trPr>
        <w:tc>
          <w:tcPr>
            <w:tcW w:w="1806" w:type="pct"/>
            <w:noWrap/>
            <w:hideMark/>
          </w:tcPr>
          <w:p w14:paraId="36B0AB28"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proofErr w:type="spellStart"/>
            <w:r w:rsidRPr="00DE3A10">
              <w:rPr>
                <w:rFonts w:ascii="Times New Roman" w:eastAsia="Times New Roman" w:hAnsi="Times New Roman" w:cs="Times New Roman"/>
                <w:color w:val="000000"/>
                <w:sz w:val="18"/>
                <w:szCs w:val="18"/>
                <w:lang w:val="es-AR" w:eastAsia="es-AR"/>
              </w:rPr>
              <w:t>Alvarez</w:t>
            </w:r>
            <w:proofErr w:type="spellEnd"/>
            <w:r w:rsidRPr="00DE3A10">
              <w:rPr>
                <w:rFonts w:ascii="Times New Roman" w:eastAsia="Times New Roman" w:hAnsi="Times New Roman" w:cs="Times New Roman"/>
                <w:color w:val="000000"/>
                <w:sz w:val="18"/>
                <w:szCs w:val="18"/>
                <w:lang w:val="es-AR" w:eastAsia="es-AR"/>
              </w:rPr>
              <w:t xml:space="preserve"> Tuñón, Eduardo </w:t>
            </w:r>
          </w:p>
        </w:tc>
        <w:tc>
          <w:tcPr>
            <w:tcW w:w="3194" w:type="pct"/>
            <w:hideMark/>
          </w:tcPr>
          <w:p w14:paraId="32A2F965"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Fiscal General - Cámara Nacional del Trabajo</w:t>
            </w:r>
          </w:p>
        </w:tc>
      </w:tr>
      <w:tr w:rsidR="00230ADA" w:rsidRPr="00C750D7" w14:paraId="3F3E334B" w14:textId="77777777" w:rsidTr="001B371D">
        <w:trPr>
          <w:cnfStyle w:val="000000100000" w:firstRow="0" w:lastRow="0" w:firstColumn="0" w:lastColumn="0" w:oddVBand="0" w:evenVBand="0" w:oddHBand="1" w:evenHBand="0" w:firstRowFirstColumn="0" w:firstRowLastColumn="0" w:lastRowFirstColumn="0" w:lastRowLastColumn="0"/>
          <w:trHeight w:val="20"/>
        </w:trPr>
        <w:tc>
          <w:tcPr>
            <w:tcW w:w="1806" w:type="pct"/>
            <w:noWrap/>
            <w:hideMark/>
          </w:tcPr>
          <w:p w14:paraId="74B81482"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Blanco, Hernán </w:t>
            </w:r>
          </w:p>
        </w:tc>
        <w:tc>
          <w:tcPr>
            <w:tcW w:w="3194" w:type="pct"/>
            <w:hideMark/>
          </w:tcPr>
          <w:p w14:paraId="54F7BDEE"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Secretario - Sala IV, Cámara Federal de Casación Penal</w:t>
            </w:r>
          </w:p>
        </w:tc>
      </w:tr>
      <w:tr w:rsidR="00230ADA" w:rsidRPr="00C750D7" w14:paraId="20185654" w14:textId="77777777" w:rsidTr="001B371D">
        <w:trPr>
          <w:trHeight w:val="20"/>
        </w:trPr>
        <w:tc>
          <w:tcPr>
            <w:tcW w:w="1806" w:type="pct"/>
            <w:noWrap/>
            <w:hideMark/>
          </w:tcPr>
          <w:p w14:paraId="5042AA4C"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Canevari, Esteban </w:t>
            </w:r>
          </w:p>
        </w:tc>
        <w:tc>
          <w:tcPr>
            <w:tcW w:w="3194" w:type="pct"/>
            <w:hideMark/>
          </w:tcPr>
          <w:p w14:paraId="288C0E96"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Secretario - Corte Suprema de Justicia de la Nación</w:t>
            </w:r>
          </w:p>
        </w:tc>
      </w:tr>
      <w:tr w:rsidR="00230ADA" w:rsidRPr="00C750D7" w14:paraId="3931111F" w14:textId="77777777" w:rsidTr="001B371D">
        <w:trPr>
          <w:cnfStyle w:val="000000100000" w:firstRow="0" w:lastRow="0" w:firstColumn="0" w:lastColumn="0" w:oddVBand="0" w:evenVBand="0" w:oddHBand="1" w:evenHBand="0" w:firstRowFirstColumn="0" w:firstRowLastColumn="0" w:lastRowFirstColumn="0" w:lastRowLastColumn="0"/>
          <w:trHeight w:val="20"/>
        </w:trPr>
        <w:tc>
          <w:tcPr>
            <w:tcW w:w="1806" w:type="pct"/>
            <w:noWrap/>
            <w:hideMark/>
          </w:tcPr>
          <w:p w14:paraId="60B49314"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Erbín, Juan </w:t>
            </w:r>
          </w:p>
        </w:tc>
        <w:tc>
          <w:tcPr>
            <w:tcW w:w="3194" w:type="pct"/>
            <w:hideMark/>
          </w:tcPr>
          <w:p w14:paraId="0A7B59CF"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Sub-Director Nacional de Asuntos Judiciales de Procuración del Tesoro de la Nación</w:t>
            </w:r>
          </w:p>
        </w:tc>
      </w:tr>
      <w:tr w:rsidR="00230ADA" w:rsidRPr="00C750D7" w14:paraId="401F114E" w14:textId="77777777" w:rsidTr="001B371D">
        <w:trPr>
          <w:trHeight w:val="20"/>
        </w:trPr>
        <w:tc>
          <w:tcPr>
            <w:tcW w:w="1806" w:type="pct"/>
            <w:noWrap/>
            <w:hideMark/>
          </w:tcPr>
          <w:p w14:paraId="2A6AB192"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Ferro, Lautaro D. </w:t>
            </w:r>
          </w:p>
        </w:tc>
        <w:tc>
          <w:tcPr>
            <w:tcW w:w="3194" w:type="pct"/>
            <w:hideMark/>
          </w:tcPr>
          <w:p w14:paraId="5A2B09AD"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Partner - Pérez Alati, Grondona, Benites, Arntsen &amp; Martínez de Hoz (h)</w:t>
            </w:r>
          </w:p>
        </w:tc>
      </w:tr>
      <w:tr w:rsidR="00230ADA" w:rsidRPr="00085379" w14:paraId="31557540" w14:textId="77777777" w:rsidTr="001B371D">
        <w:trPr>
          <w:cnfStyle w:val="000000100000" w:firstRow="0" w:lastRow="0" w:firstColumn="0" w:lastColumn="0" w:oddVBand="0" w:evenVBand="0" w:oddHBand="1" w:evenHBand="0" w:firstRowFirstColumn="0" w:firstRowLastColumn="0" w:lastRowFirstColumn="0" w:lastRowLastColumn="0"/>
          <w:trHeight w:val="20"/>
        </w:trPr>
        <w:tc>
          <w:tcPr>
            <w:tcW w:w="1806" w:type="pct"/>
            <w:noWrap/>
            <w:hideMark/>
          </w:tcPr>
          <w:p w14:paraId="02E7C6EA"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Garay, Alberto F. </w:t>
            </w:r>
          </w:p>
        </w:tc>
        <w:tc>
          <w:tcPr>
            <w:tcW w:w="3194" w:type="pct"/>
            <w:hideMark/>
          </w:tcPr>
          <w:p w14:paraId="10C6AFDD"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Partner - Carrió &amp; Garay Abogados</w:t>
            </w:r>
          </w:p>
        </w:tc>
      </w:tr>
      <w:tr w:rsidR="00230ADA" w:rsidRPr="00C750D7" w14:paraId="484F7473" w14:textId="77777777" w:rsidTr="001B371D">
        <w:trPr>
          <w:trHeight w:val="20"/>
        </w:trPr>
        <w:tc>
          <w:tcPr>
            <w:tcW w:w="1806" w:type="pct"/>
            <w:noWrap/>
            <w:hideMark/>
          </w:tcPr>
          <w:p w14:paraId="367FD910"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García Vior, Andrea </w:t>
            </w:r>
          </w:p>
        </w:tc>
        <w:tc>
          <w:tcPr>
            <w:tcW w:w="3194" w:type="pct"/>
            <w:hideMark/>
          </w:tcPr>
          <w:p w14:paraId="61B71938"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Secretaria - Sala II, de la Cámara Nacional de Apelaciones del Trabajo</w:t>
            </w:r>
          </w:p>
        </w:tc>
      </w:tr>
      <w:tr w:rsidR="00230ADA" w:rsidRPr="00085379" w14:paraId="34CEAD8C" w14:textId="77777777" w:rsidTr="001B371D">
        <w:trPr>
          <w:cnfStyle w:val="000000100000" w:firstRow="0" w:lastRow="0" w:firstColumn="0" w:lastColumn="0" w:oddVBand="0" w:evenVBand="0" w:oddHBand="1" w:evenHBand="0" w:firstRowFirstColumn="0" w:firstRowLastColumn="0" w:lastRowFirstColumn="0" w:lastRowLastColumn="0"/>
          <w:trHeight w:val="20"/>
        </w:trPr>
        <w:tc>
          <w:tcPr>
            <w:tcW w:w="1806" w:type="pct"/>
            <w:noWrap/>
            <w:hideMark/>
          </w:tcPr>
          <w:p w14:paraId="2B334A54"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Giménez, María Inés </w:t>
            </w:r>
          </w:p>
        </w:tc>
        <w:tc>
          <w:tcPr>
            <w:tcW w:w="3194" w:type="pct"/>
            <w:hideMark/>
          </w:tcPr>
          <w:p w14:paraId="69B7373A"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Partner - Bulit Goñi &amp; Tarsitano</w:t>
            </w:r>
          </w:p>
        </w:tc>
      </w:tr>
      <w:tr w:rsidR="00230ADA" w:rsidRPr="00C750D7" w14:paraId="52909C90" w14:textId="77777777" w:rsidTr="001B371D">
        <w:trPr>
          <w:trHeight w:val="20"/>
        </w:trPr>
        <w:tc>
          <w:tcPr>
            <w:tcW w:w="1806" w:type="pct"/>
            <w:noWrap/>
            <w:hideMark/>
          </w:tcPr>
          <w:p w14:paraId="77E4A8E6"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Hockl, María Cecilia </w:t>
            </w:r>
          </w:p>
        </w:tc>
        <w:tc>
          <w:tcPr>
            <w:tcW w:w="3194" w:type="pct"/>
            <w:hideMark/>
          </w:tcPr>
          <w:p w14:paraId="1A3085FB"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Secretari</w:t>
            </w:r>
            <w:r w:rsidR="00031FA0" w:rsidRPr="00DE3A10">
              <w:rPr>
                <w:rFonts w:ascii="Times New Roman" w:eastAsia="Times New Roman" w:hAnsi="Times New Roman" w:cs="Times New Roman"/>
                <w:color w:val="000000"/>
                <w:sz w:val="18"/>
                <w:szCs w:val="18"/>
                <w:lang w:val="es-AR" w:eastAsia="es-AR"/>
              </w:rPr>
              <w:t>a</w:t>
            </w:r>
            <w:r w:rsidRPr="00DE3A10">
              <w:rPr>
                <w:rFonts w:ascii="Times New Roman" w:eastAsia="Times New Roman" w:hAnsi="Times New Roman" w:cs="Times New Roman"/>
                <w:color w:val="000000"/>
                <w:sz w:val="18"/>
                <w:szCs w:val="18"/>
                <w:lang w:val="es-AR" w:eastAsia="es-AR"/>
              </w:rPr>
              <w:t xml:space="preserve"> Letrad</w:t>
            </w:r>
            <w:r w:rsidR="00031FA0" w:rsidRPr="00DE3A10">
              <w:rPr>
                <w:rFonts w:ascii="Times New Roman" w:eastAsia="Times New Roman" w:hAnsi="Times New Roman" w:cs="Times New Roman"/>
                <w:color w:val="000000"/>
                <w:sz w:val="18"/>
                <w:szCs w:val="18"/>
                <w:lang w:val="es-AR" w:eastAsia="es-AR"/>
              </w:rPr>
              <w:t>a</w:t>
            </w:r>
            <w:r w:rsidRPr="00DE3A10">
              <w:rPr>
                <w:rFonts w:ascii="Times New Roman" w:eastAsia="Times New Roman" w:hAnsi="Times New Roman" w:cs="Times New Roman"/>
                <w:color w:val="000000"/>
                <w:sz w:val="18"/>
                <w:szCs w:val="18"/>
                <w:lang w:val="es-AR" w:eastAsia="es-AR"/>
              </w:rPr>
              <w:t xml:space="preserve"> - Corte Suprema de Justicia de la Nacion</w:t>
            </w:r>
          </w:p>
        </w:tc>
      </w:tr>
      <w:tr w:rsidR="00230ADA" w:rsidRPr="00C750D7" w14:paraId="3B521E1D" w14:textId="77777777" w:rsidTr="001B371D">
        <w:trPr>
          <w:cnfStyle w:val="000000100000" w:firstRow="0" w:lastRow="0" w:firstColumn="0" w:lastColumn="0" w:oddVBand="0" w:evenVBand="0" w:oddHBand="1" w:evenHBand="0" w:firstRowFirstColumn="0" w:firstRowLastColumn="0" w:lastRowFirstColumn="0" w:lastRowLastColumn="0"/>
          <w:trHeight w:val="20"/>
        </w:trPr>
        <w:tc>
          <w:tcPr>
            <w:tcW w:w="1806" w:type="pct"/>
            <w:noWrap/>
            <w:hideMark/>
          </w:tcPr>
          <w:p w14:paraId="10D32ADD"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Incera, Luis M. </w:t>
            </w:r>
          </w:p>
        </w:tc>
        <w:tc>
          <w:tcPr>
            <w:tcW w:w="3194" w:type="pct"/>
            <w:hideMark/>
          </w:tcPr>
          <w:p w14:paraId="10201F01"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Partner - Pérez Alati, Grondona, Benites, Arntsen &amp; Martínez de Hoz (h)</w:t>
            </w:r>
          </w:p>
        </w:tc>
      </w:tr>
      <w:tr w:rsidR="00230ADA" w:rsidRPr="00C750D7" w14:paraId="3696173F" w14:textId="77777777" w:rsidTr="001B371D">
        <w:trPr>
          <w:trHeight w:val="20"/>
        </w:trPr>
        <w:tc>
          <w:tcPr>
            <w:tcW w:w="1806" w:type="pct"/>
            <w:noWrap/>
            <w:hideMark/>
          </w:tcPr>
          <w:p w14:paraId="585A1394"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Kiper, Claudio </w:t>
            </w:r>
          </w:p>
        </w:tc>
        <w:tc>
          <w:tcPr>
            <w:tcW w:w="3194" w:type="pct"/>
            <w:hideMark/>
          </w:tcPr>
          <w:p w14:paraId="12ADF4D4"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Juez – Sala H, Cámara Nacional de Apelaciones en lo Civil </w:t>
            </w:r>
          </w:p>
        </w:tc>
      </w:tr>
      <w:tr w:rsidR="00230ADA" w:rsidRPr="00085379" w14:paraId="2A5A4BDE" w14:textId="77777777" w:rsidTr="001B371D">
        <w:trPr>
          <w:cnfStyle w:val="000000100000" w:firstRow="0" w:lastRow="0" w:firstColumn="0" w:lastColumn="0" w:oddVBand="0" w:evenVBand="0" w:oddHBand="1" w:evenHBand="0" w:firstRowFirstColumn="0" w:firstRowLastColumn="0" w:lastRowFirstColumn="0" w:lastRowLastColumn="0"/>
          <w:trHeight w:val="20"/>
        </w:trPr>
        <w:tc>
          <w:tcPr>
            <w:tcW w:w="1806" w:type="pct"/>
            <w:noWrap/>
            <w:hideMark/>
          </w:tcPr>
          <w:p w14:paraId="3706A880"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Mairal, Hector A. </w:t>
            </w:r>
          </w:p>
        </w:tc>
        <w:tc>
          <w:tcPr>
            <w:tcW w:w="3194" w:type="pct"/>
            <w:hideMark/>
          </w:tcPr>
          <w:p w14:paraId="157AFD76"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Partner - Marval, O'Farrell &amp; Mairal</w:t>
            </w:r>
          </w:p>
        </w:tc>
      </w:tr>
      <w:tr w:rsidR="00230ADA" w:rsidRPr="00C750D7" w14:paraId="056BA5BE" w14:textId="77777777" w:rsidTr="001B371D">
        <w:trPr>
          <w:trHeight w:val="20"/>
        </w:trPr>
        <w:tc>
          <w:tcPr>
            <w:tcW w:w="1806" w:type="pct"/>
            <w:noWrap/>
            <w:hideMark/>
          </w:tcPr>
          <w:p w14:paraId="651D5FBC"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Marra, Macarena </w:t>
            </w:r>
          </w:p>
        </w:tc>
        <w:tc>
          <w:tcPr>
            <w:tcW w:w="3194" w:type="pct"/>
            <w:hideMark/>
          </w:tcPr>
          <w:p w14:paraId="32EE9234" w14:textId="77777777" w:rsidR="00230ADA" w:rsidRPr="00DE3A10" w:rsidRDefault="00230ADA" w:rsidP="00085379">
            <w:pPr>
              <w:spacing w:line="480" w:lineRule="auto"/>
              <w:rPr>
                <w:rFonts w:ascii="Times New Roman" w:eastAsia="Times New Roman" w:hAnsi="Times New Roman" w:cs="Times New Roman"/>
                <w:sz w:val="18"/>
                <w:szCs w:val="18"/>
                <w:lang w:val="es-AR" w:eastAsia="es-AR"/>
              </w:rPr>
            </w:pPr>
            <w:r w:rsidRPr="00DE3A10">
              <w:rPr>
                <w:rFonts w:ascii="Times New Roman" w:eastAsia="Times New Roman" w:hAnsi="Times New Roman" w:cs="Times New Roman"/>
                <w:sz w:val="18"/>
                <w:szCs w:val="18"/>
                <w:lang w:val="es-AR" w:eastAsia="es-AR"/>
              </w:rPr>
              <w:t>Secretaria - Sala II de la Cámara Nacional de Apelaciones en lo Contencioso Administrativo Federal</w:t>
            </w:r>
          </w:p>
        </w:tc>
      </w:tr>
      <w:tr w:rsidR="00230ADA" w:rsidRPr="00C750D7" w14:paraId="4E2524EC" w14:textId="77777777" w:rsidTr="001B371D">
        <w:trPr>
          <w:cnfStyle w:val="000000100000" w:firstRow="0" w:lastRow="0" w:firstColumn="0" w:lastColumn="0" w:oddVBand="0" w:evenVBand="0" w:oddHBand="1" w:evenHBand="0" w:firstRowFirstColumn="0" w:firstRowLastColumn="0" w:lastRowFirstColumn="0" w:lastRowLastColumn="0"/>
          <w:trHeight w:val="20"/>
        </w:trPr>
        <w:tc>
          <w:tcPr>
            <w:tcW w:w="1806" w:type="pct"/>
            <w:noWrap/>
            <w:hideMark/>
          </w:tcPr>
          <w:p w14:paraId="0DC21D21"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Navarro, Marcelo </w:t>
            </w:r>
          </w:p>
        </w:tc>
        <w:tc>
          <w:tcPr>
            <w:tcW w:w="3194" w:type="pct"/>
            <w:hideMark/>
          </w:tcPr>
          <w:p w14:paraId="6AE429D1" w14:textId="77777777" w:rsidR="00230ADA" w:rsidRPr="00DE3A10" w:rsidRDefault="00230ADA" w:rsidP="00085379">
            <w:pPr>
              <w:spacing w:line="480" w:lineRule="auto"/>
              <w:rPr>
                <w:rFonts w:ascii="Times New Roman" w:eastAsia="Times New Roman" w:hAnsi="Times New Roman" w:cs="Times New Roman"/>
                <w:sz w:val="18"/>
                <w:szCs w:val="18"/>
                <w:lang w:val="es-AR" w:eastAsia="es-AR"/>
              </w:rPr>
            </w:pPr>
            <w:r w:rsidRPr="00DE3A10">
              <w:rPr>
                <w:rFonts w:ascii="Times New Roman" w:eastAsia="Times New Roman" w:hAnsi="Times New Roman" w:cs="Times New Roman"/>
                <w:sz w:val="18"/>
                <w:szCs w:val="18"/>
                <w:lang w:val="es-AR" w:eastAsia="es-AR"/>
              </w:rPr>
              <w:t>Secretario Letrado - Corte Suprema de Justicia de la Nación</w:t>
            </w:r>
          </w:p>
        </w:tc>
      </w:tr>
      <w:tr w:rsidR="00230ADA" w:rsidRPr="00085379" w14:paraId="4ABBF5F9" w14:textId="77777777" w:rsidTr="001B371D">
        <w:trPr>
          <w:trHeight w:val="20"/>
        </w:trPr>
        <w:tc>
          <w:tcPr>
            <w:tcW w:w="1806" w:type="pct"/>
            <w:noWrap/>
            <w:hideMark/>
          </w:tcPr>
          <w:p w14:paraId="02063E17"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 xml:space="preserve">Tarsitano, Alberto </w:t>
            </w:r>
          </w:p>
        </w:tc>
        <w:tc>
          <w:tcPr>
            <w:tcW w:w="3194" w:type="pct"/>
            <w:hideMark/>
          </w:tcPr>
          <w:p w14:paraId="4488AF5A"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Partner - Bulit Goñi &amp; Tarsitano</w:t>
            </w:r>
          </w:p>
        </w:tc>
      </w:tr>
      <w:tr w:rsidR="00230ADA" w:rsidRPr="00085379" w14:paraId="6423D15E" w14:textId="77777777" w:rsidTr="001B371D">
        <w:trPr>
          <w:cnfStyle w:val="000000100000" w:firstRow="0" w:lastRow="0" w:firstColumn="0" w:lastColumn="0" w:oddVBand="0" w:evenVBand="0" w:oddHBand="1" w:evenHBand="0" w:firstRowFirstColumn="0" w:firstRowLastColumn="0" w:lastRowFirstColumn="0" w:lastRowLastColumn="0"/>
          <w:trHeight w:val="20"/>
        </w:trPr>
        <w:tc>
          <w:tcPr>
            <w:tcW w:w="1806" w:type="pct"/>
            <w:noWrap/>
            <w:hideMark/>
          </w:tcPr>
          <w:p w14:paraId="27D83FFA"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Veramendi, Enrique V.</w:t>
            </w:r>
          </w:p>
        </w:tc>
        <w:tc>
          <w:tcPr>
            <w:tcW w:w="3194" w:type="pct"/>
            <w:hideMark/>
          </w:tcPr>
          <w:p w14:paraId="2E1B3097" w14:textId="77777777" w:rsidR="00230ADA" w:rsidRPr="00DE3A10" w:rsidRDefault="00230ADA" w:rsidP="00085379">
            <w:pPr>
              <w:spacing w:line="480" w:lineRule="auto"/>
              <w:rPr>
                <w:rFonts w:ascii="Times New Roman" w:eastAsia="Times New Roman" w:hAnsi="Times New Roman" w:cs="Times New Roman"/>
                <w:color w:val="000000"/>
                <w:sz w:val="18"/>
                <w:szCs w:val="18"/>
                <w:lang w:val="es-AR" w:eastAsia="es-AR"/>
              </w:rPr>
            </w:pPr>
            <w:r w:rsidRPr="00DE3A10">
              <w:rPr>
                <w:rFonts w:ascii="Times New Roman" w:eastAsia="Times New Roman" w:hAnsi="Times New Roman" w:cs="Times New Roman"/>
                <w:color w:val="000000"/>
                <w:sz w:val="18"/>
                <w:szCs w:val="18"/>
                <w:lang w:val="es-AR" w:eastAsia="es-AR"/>
              </w:rPr>
              <w:t>Partner - Marval, O'Farrell &amp; Mairal</w:t>
            </w:r>
          </w:p>
        </w:tc>
      </w:tr>
    </w:tbl>
    <w:p w14:paraId="4D23EC0C" w14:textId="77777777" w:rsidR="0046568D" w:rsidRDefault="0046568D" w:rsidP="0046568D">
      <w:pPr>
        <w:widowControl w:val="0"/>
        <w:autoSpaceDE w:val="0"/>
        <w:autoSpaceDN w:val="0"/>
        <w:adjustRightInd w:val="0"/>
        <w:spacing w:after="240" w:line="480" w:lineRule="auto"/>
        <w:rPr>
          <w:rFonts w:ascii="Times New Roman" w:hAnsi="Times New Roman" w:cs="Times New Roman"/>
          <w:sz w:val="24"/>
          <w:szCs w:val="24"/>
        </w:rPr>
      </w:pPr>
      <w:r w:rsidRPr="00085379">
        <w:rPr>
          <w:rStyle w:val="EndnoteReference"/>
          <w:rFonts w:ascii="Times New Roman" w:hAnsi="Times New Roman" w:cs="Times New Roman"/>
          <w:sz w:val="24"/>
          <w:szCs w:val="24"/>
        </w:rPr>
        <w:sym w:font="Symbol" w:char="F02A"/>
      </w:r>
      <w:r w:rsidRPr="00085379">
        <w:rPr>
          <w:rFonts w:ascii="Times New Roman" w:hAnsi="Times New Roman" w:cs="Times New Roman"/>
          <w:sz w:val="24"/>
          <w:szCs w:val="24"/>
        </w:rPr>
        <w:t xml:space="preserve"> This list does not include individuals who have requested to remain anonymous.</w:t>
      </w:r>
    </w:p>
    <w:p w14:paraId="76236D96" w14:textId="77777777" w:rsidR="0046568D" w:rsidRDefault="0046568D">
      <w:pPr>
        <w:rPr>
          <w:rFonts w:ascii="Times New Roman" w:hAnsi="Times New Roman" w:cs="Times New Roman"/>
          <w:b/>
          <w:sz w:val="24"/>
          <w:szCs w:val="24"/>
        </w:rPr>
      </w:pPr>
      <w:r>
        <w:rPr>
          <w:rFonts w:ascii="Times New Roman" w:hAnsi="Times New Roman" w:cs="Times New Roman"/>
          <w:b/>
          <w:sz w:val="24"/>
          <w:szCs w:val="24"/>
        </w:rPr>
        <w:br w:type="page"/>
      </w:r>
    </w:p>
    <w:p w14:paraId="482FFC8B" w14:textId="77777777" w:rsidR="00230ADA" w:rsidRDefault="0046568D" w:rsidP="0008537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73F82D72" w14:textId="77777777" w:rsidR="00CB06EE" w:rsidRDefault="00CB06EE" w:rsidP="00085379">
      <w:pPr>
        <w:spacing w:line="480" w:lineRule="auto"/>
        <w:rPr>
          <w:rFonts w:ascii="Times New Roman" w:hAnsi="Times New Roman" w:cs="Times New Roman"/>
          <w:sz w:val="24"/>
          <w:szCs w:val="24"/>
        </w:rPr>
      </w:pPr>
      <w:r w:rsidRPr="00085379">
        <w:rPr>
          <w:rFonts w:ascii="Times New Roman" w:hAnsi="Times New Roman" w:cs="Times New Roman"/>
          <w:sz w:val="24"/>
          <w:szCs w:val="24"/>
        </w:rPr>
        <w:t>Baird</w:t>
      </w:r>
      <w:r>
        <w:rPr>
          <w:rFonts w:ascii="Times New Roman" w:hAnsi="Times New Roman" w:cs="Times New Roman"/>
          <w:sz w:val="24"/>
          <w:szCs w:val="24"/>
        </w:rPr>
        <w:t xml:space="preserve">, </w:t>
      </w:r>
      <w:r w:rsidRPr="00085379">
        <w:rPr>
          <w:rFonts w:ascii="Times New Roman" w:hAnsi="Times New Roman" w:cs="Times New Roman"/>
          <w:sz w:val="24"/>
          <w:szCs w:val="24"/>
        </w:rPr>
        <w:t>Vanessa</w:t>
      </w:r>
      <w:r>
        <w:rPr>
          <w:rFonts w:ascii="Times New Roman" w:hAnsi="Times New Roman" w:cs="Times New Roman"/>
          <w:sz w:val="24"/>
          <w:szCs w:val="24"/>
        </w:rPr>
        <w:t>. 2001.</w:t>
      </w:r>
      <w:r w:rsidRPr="00085379">
        <w:rPr>
          <w:rFonts w:ascii="Times New Roman" w:hAnsi="Times New Roman" w:cs="Times New Roman"/>
          <w:sz w:val="24"/>
          <w:szCs w:val="24"/>
        </w:rPr>
        <w:t xml:space="preserve"> Building Institutional Legitimacy:</w:t>
      </w:r>
      <w:r>
        <w:rPr>
          <w:rFonts w:ascii="Times New Roman" w:hAnsi="Times New Roman" w:cs="Times New Roman"/>
          <w:sz w:val="24"/>
          <w:szCs w:val="24"/>
        </w:rPr>
        <w:t xml:space="preserve"> The Role of Procedural Justice</w:t>
      </w:r>
      <w:r w:rsidRPr="00085379">
        <w:rPr>
          <w:rFonts w:ascii="Times New Roman" w:hAnsi="Times New Roman" w:cs="Times New Roman"/>
          <w:sz w:val="24"/>
          <w:szCs w:val="24"/>
        </w:rPr>
        <w:t xml:space="preserve">, </w:t>
      </w:r>
      <w:r w:rsidRPr="00CB06EE">
        <w:rPr>
          <w:rFonts w:ascii="Times New Roman" w:hAnsi="Times New Roman" w:cs="Times New Roman"/>
          <w:i/>
          <w:sz w:val="24"/>
          <w:szCs w:val="24"/>
        </w:rPr>
        <w:t>Political Research Quarterly</w:t>
      </w:r>
      <w:r w:rsidRPr="00085379">
        <w:rPr>
          <w:rFonts w:ascii="Times New Roman" w:hAnsi="Times New Roman" w:cs="Times New Roman"/>
          <w:sz w:val="24"/>
          <w:szCs w:val="24"/>
        </w:rPr>
        <w:t xml:space="preserve"> 54</w:t>
      </w:r>
      <w:r>
        <w:rPr>
          <w:rFonts w:ascii="Times New Roman" w:hAnsi="Times New Roman" w:cs="Times New Roman"/>
          <w:sz w:val="24"/>
          <w:szCs w:val="24"/>
        </w:rPr>
        <w:t xml:space="preserve">: </w:t>
      </w:r>
      <w:r w:rsidRPr="00085379">
        <w:rPr>
          <w:rFonts w:ascii="Times New Roman" w:hAnsi="Times New Roman" w:cs="Times New Roman"/>
          <w:sz w:val="24"/>
          <w:szCs w:val="24"/>
        </w:rPr>
        <w:t>333</w:t>
      </w:r>
      <w:r>
        <w:rPr>
          <w:rFonts w:ascii="Times New Roman" w:hAnsi="Times New Roman" w:cs="Times New Roman"/>
          <w:sz w:val="24"/>
          <w:szCs w:val="24"/>
        </w:rPr>
        <w:t>.</w:t>
      </w:r>
    </w:p>
    <w:p w14:paraId="12F45D29" w14:textId="77777777" w:rsidR="002255BC" w:rsidRDefault="002255BC" w:rsidP="00085379">
      <w:pPr>
        <w:spacing w:line="480" w:lineRule="auto"/>
        <w:rPr>
          <w:rFonts w:ascii="Times New Roman" w:hAnsi="Times New Roman" w:cs="Times New Roman"/>
          <w:b/>
          <w:sz w:val="24"/>
          <w:szCs w:val="24"/>
        </w:rPr>
      </w:pPr>
      <w:r w:rsidRPr="00085379">
        <w:rPr>
          <w:rFonts w:ascii="Times New Roman" w:hAnsi="Times New Roman" w:cs="Times New Roman"/>
          <w:sz w:val="24"/>
          <w:szCs w:val="24"/>
        </w:rPr>
        <w:t>Banks</w:t>
      </w:r>
      <w:r>
        <w:rPr>
          <w:rFonts w:ascii="Times New Roman" w:hAnsi="Times New Roman" w:cs="Times New Roman"/>
          <w:sz w:val="24"/>
          <w:szCs w:val="24"/>
        </w:rPr>
        <w:t xml:space="preserve">, </w:t>
      </w:r>
      <w:r w:rsidRPr="00085379">
        <w:rPr>
          <w:rFonts w:ascii="Times New Roman" w:hAnsi="Times New Roman" w:cs="Times New Roman"/>
          <w:sz w:val="24"/>
          <w:szCs w:val="24"/>
        </w:rPr>
        <w:t>William</w:t>
      </w:r>
      <w:r>
        <w:rPr>
          <w:rFonts w:ascii="Times New Roman" w:hAnsi="Times New Roman" w:cs="Times New Roman"/>
          <w:sz w:val="24"/>
          <w:szCs w:val="24"/>
        </w:rPr>
        <w:t>,</w:t>
      </w:r>
      <w:r w:rsidRPr="00085379">
        <w:rPr>
          <w:rFonts w:ascii="Times New Roman" w:hAnsi="Times New Roman" w:cs="Times New Roman"/>
          <w:sz w:val="24"/>
          <w:szCs w:val="24"/>
        </w:rPr>
        <w:t xml:space="preserve"> and Alejandro </w:t>
      </w:r>
      <w:proofErr w:type="spellStart"/>
      <w:r w:rsidRPr="00085379">
        <w:rPr>
          <w:rFonts w:ascii="Times New Roman" w:hAnsi="Times New Roman" w:cs="Times New Roman"/>
          <w:sz w:val="24"/>
          <w:szCs w:val="24"/>
        </w:rPr>
        <w:t>Carrió</w:t>
      </w:r>
      <w:proofErr w:type="spellEnd"/>
      <w:r w:rsidRPr="00085379">
        <w:rPr>
          <w:rFonts w:ascii="Times New Roman" w:hAnsi="Times New Roman" w:cs="Times New Roman"/>
          <w:sz w:val="24"/>
          <w:szCs w:val="24"/>
        </w:rPr>
        <w:t>,</w:t>
      </w:r>
      <w:r>
        <w:rPr>
          <w:rFonts w:ascii="Times New Roman" w:hAnsi="Times New Roman" w:cs="Times New Roman"/>
          <w:sz w:val="24"/>
          <w:szCs w:val="24"/>
        </w:rPr>
        <w:t xml:space="preserve"> 1993.</w:t>
      </w:r>
      <w:r w:rsidRPr="00085379">
        <w:rPr>
          <w:rFonts w:ascii="Times New Roman" w:hAnsi="Times New Roman" w:cs="Times New Roman"/>
          <w:sz w:val="24"/>
          <w:szCs w:val="24"/>
        </w:rPr>
        <w:t xml:space="preserve"> Presidential Systems in Stress: Emergency Powers in Argentina and the United States</w:t>
      </w:r>
      <w:r>
        <w:rPr>
          <w:rFonts w:ascii="Times New Roman" w:hAnsi="Times New Roman" w:cs="Times New Roman"/>
          <w:sz w:val="24"/>
          <w:szCs w:val="24"/>
        </w:rPr>
        <w:t>,</w:t>
      </w:r>
      <w:r w:rsidRPr="00085379">
        <w:rPr>
          <w:rFonts w:ascii="Times New Roman" w:hAnsi="Times New Roman" w:cs="Times New Roman"/>
          <w:sz w:val="24"/>
          <w:szCs w:val="24"/>
        </w:rPr>
        <w:t xml:space="preserve"> </w:t>
      </w:r>
      <w:r w:rsidRPr="00085379">
        <w:rPr>
          <w:rFonts w:ascii="Times New Roman" w:hAnsi="Times New Roman" w:cs="Times New Roman"/>
          <w:i/>
          <w:sz w:val="24"/>
          <w:szCs w:val="24"/>
        </w:rPr>
        <w:t>Michigan Journal of International Law</w:t>
      </w:r>
      <w:r>
        <w:rPr>
          <w:rFonts w:ascii="Times New Roman" w:hAnsi="Times New Roman" w:cs="Times New Roman"/>
          <w:sz w:val="24"/>
          <w:szCs w:val="24"/>
        </w:rPr>
        <w:t xml:space="preserve"> 15: 1</w:t>
      </w:r>
      <w:r w:rsidRPr="00085379">
        <w:rPr>
          <w:rFonts w:ascii="Times New Roman" w:hAnsi="Times New Roman" w:cs="Times New Roman"/>
          <w:sz w:val="24"/>
          <w:szCs w:val="24"/>
        </w:rPr>
        <w:t>, 29.</w:t>
      </w:r>
    </w:p>
    <w:p w14:paraId="43A6B35A" w14:textId="77777777" w:rsidR="00C544E9" w:rsidRDefault="00C544E9" w:rsidP="00085379">
      <w:pPr>
        <w:spacing w:line="480" w:lineRule="auto"/>
        <w:rPr>
          <w:rFonts w:ascii="Times New Roman" w:hAnsi="Times New Roman" w:cs="Times New Roman"/>
          <w:sz w:val="24"/>
          <w:szCs w:val="24"/>
        </w:rPr>
      </w:pPr>
      <w:r w:rsidRPr="00085379">
        <w:rPr>
          <w:rFonts w:ascii="Times New Roman" w:hAnsi="Times New Roman" w:cs="Times New Roman"/>
          <w:sz w:val="24"/>
          <w:szCs w:val="24"/>
        </w:rPr>
        <w:t xml:space="preserve">Cameron, C., J. Segal, </w:t>
      </w:r>
      <w:r>
        <w:rPr>
          <w:rFonts w:ascii="Times New Roman" w:hAnsi="Times New Roman" w:cs="Times New Roman"/>
          <w:sz w:val="24"/>
          <w:szCs w:val="24"/>
        </w:rPr>
        <w:t>and</w:t>
      </w:r>
      <w:r w:rsidRPr="00085379">
        <w:rPr>
          <w:rFonts w:ascii="Times New Roman" w:hAnsi="Times New Roman" w:cs="Times New Roman"/>
          <w:sz w:val="24"/>
          <w:szCs w:val="24"/>
        </w:rPr>
        <w:t xml:space="preserve"> D. </w:t>
      </w:r>
      <w:proofErr w:type="spellStart"/>
      <w:r w:rsidRPr="00085379">
        <w:rPr>
          <w:rFonts w:ascii="Times New Roman" w:hAnsi="Times New Roman" w:cs="Times New Roman"/>
          <w:sz w:val="24"/>
          <w:szCs w:val="24"/>
        </w:rPr>
        <w:t>Songer</w:t>
      </w:r>
      <w:proofErr w:type="spellEnd"/>
      <w:r>
        <w:rPr>
          <w:rFonts w:ascii="Times New Roman" w:hAnsi="Times New Roman" w:cs="Times New Roman"/>
          <w:sz w:val="24"/>
          <w:szCs w:val="24"/>
        </w:rPr>
        <w:t>.</w:t>
      </w:r>
      <w:r w:rsidRPr="00085379">
        <w:rPr>
          <w:rFonts w:ascii="Times New Roman" w:hAnsi="Times New Roman" w:cs="Times New Roman"/>
          <w:sz w:val="24"/>
          <w:szCs w:val="24"/>
        </w:rPr>
        <w:t xml:space="preserve"> (2000)</w:t>
      </w:r>
      <w:r>
        <w:rPr>
          <w:rFonts w:ascii="Times New Roman" w:hAnsi="Times New Roman" w:cs="Times New Roman"/>
          <w:sz w:val="24"/>
          <w:szCs w:val="24"/>
        </w:rPr>
        <w:t>.</w:t>
      </w:r>
      <w:r w:rsidRPr="00085379">
        <w:rPr>
          <w:rFonts w:ascii="Times New Roman" w:hAnsi="Times New Roman" w:cs="Times New Roman"/>
          <w:sz w:val="24"/>
          <w:szCs w:val="24"/>
        </w:rPr>
        <w:t xml:space="preserve"> Strategic Auditing in a Political Hierarchy: An Informational Model of the Supreme Court’s </w:t>
      </w:r>
      <w:r w:rsidRPr="00085379">
        <w:rPr>
          <w:rFonts w:ascii="Times New Roman" w:hAnsi="Times New Roman" w:cs="Times New Roman"/>
          <w:i/>
          <w:iCs/>
          <w:sz w:val="24"/>
          <w:szCs w:val="24"/>
        </w:rPr>
        <w:t xml:space="preserve">Certiorari </w:t>
      </w:r>
      <w:r>
        <w:rPr>
          <w:rFonts w:ascii="Times New Roman" w:hAnsi="Times New Roman" w:cs="Times New Roman"/>
          <w:sz w:val="24"/>
          <w:szCs w:val="24"/>
        </w:rPr>
        <w:t>Decisions,</w:t>
      </w:r>
      <w:r w:rsidRPr="00085379">
        <w:rPr>
          <w:rFonts w:ascii="Times New Roman" w:hAnsi="Times New Roman" w:cs="Times New Roman"/>
          <w:sz w:val="24"/>
          <w:szCs w:val="24"/>
        </w:rPr>
        <w:t xml:space="preserve"> </w:t>
      </w:r>
      <w:r w:rsidRPr="00085379">
        <w:rPr>
          <w:rFonts w:ascii="Times New Roman" w:hAnsi="Times New Roman" w:cs="Times New Roman"/>
          <w:i/>
          <w:iCs/>
          <w:sz w:val="24"/>
          <w:szCs w:val="24"/>
        </w:rPr>
        <w:t xml:space="preserve">American Political Science Rev. </w:t>
      </w:r>
      <w:r w:rsidRPr="00085379">
        <w:rPr>
          <w:rFonts w:ascii="Times New Roman" w:hAnsi="Times New Roman" w:cs="Times New Roman"/>
          <w:sz w:val="24"/>
          <w:szCs w:val="24"/>
        </w:rPr>
        <w:t>94</w:t>
      </w:r>
      <w:r>
        <w:rPr>
          <w:rFonts w:ascii="Times New Roman" w:hAnsi="Times New Roman" w:cs="Times New Roman"/>
          <w:sz w:val="24"/>
          <w:szCs w:val="24"/>
        </w:rPr>
        <w:t xml:space="preserve">: </w:t>
      </w:r>
      <w:r w:rsidRPr="00085379">
        <w:rPr>
          <w:rFonts w:ascii="Times New Roman" w:hAnsi="Times New Roman" w:cs="Times New Roman"/>
          <w:sz w:val="24"/>
          <w:szCs w:val="24"/>
        </w:rPr>
        <w:t>101.</w:t>
      </w:r>
    </w:p>
    <w:p w14:paraId="6D3B6C25" w14:textId="77777777" w:rsidR="002255BC" w:rsidRDefault="002255BC" w:rsidP="00085379">
      <w:pPr>
        <w:spacing w:line="480" w:lineRule="auto"/>
        <w:rPr>
          <w:rFonts w:ascii="Times New Roman" w:hAnsi="Times New Roman" w:cs="Times New Roman"/>
          <w:b/>
          <w:sz w:val="24"/>
          <w:szCs w:val="24"/>
        </w:rPr>
      </w:pPr>
      <w:r w:rsidRPr="00085379">
        <w:rPr>
          <w:rFonts w:ascii="Times New Roman" w:hAnsi="Times New Roman" w:cs="Times New Roman"/>
          <w:sz w:val="24"/>
          <w:szCs w:val="24"/>
        </w:rPr>
        <w:t>Chen,</w:t>
      </w:r>
      <w:r>
        <w:rPr>
          <w:rFonts w:ascii="Times New Roman" w:hAnsi="Times New Roman" w:cs="Times New Roman"/>
          <w:sz w:val="24"/>
          <w:szCs w:val="24"/>
        </w:rPr>
        <w:t xml:space="preserve"> </w:t>
      </w:r>
      <w:r w:rsidRPr="00085379">
        <w:rPr>
          <w:rFonts w:ascii="Times New Roman" w:hAnsi="Times New Roman" w:cs="Times New Roman"/>
          <w:sz w:val="24"/>
          <w:szCs w:val="24"/>
        </w:rPr>
        <w:t>Kong-Pin</w:t>
      </w:r>
      <w:r>
        <w:rPr>
          <w:rFonts w:ascii="Times New Roman" w:hAnsi="Times New Roman" w:cs="Times New Roman"/>
          <w:sz w:val="24"/>
          <w:szCs w:val="24"/>
        </w:rPr>
        <w:t>,</w:t>
      </w:r>
      <w:r w:rsidRPr="00085379">
        <w:rPr>
          <w:rFonts w:ascii="Times New Roman" w:hAnsi="Times New Roman" w:cs="Times New Roman"/>
          <w:sz w:val="24"/>
          <w:szCs w:val="24"/>
        </w:rPr>
        <w:t xml:space="preserve"> </w:t>
      </w:r>
      <w:proofErr w:type="spellStart"/>
      <w:r w:rsidRPr="00085379">
        <w:rPr>
          <w:rFonts w:ascii="Times New Roman" w:hAnsi="Times New Roman" w:cs="Times New Roman"/>
          <w:sz w:val="24"/>
          <w:szCs w:val="24"/>
        </w:rPr>
        <w:t>Kuo</w:t>
      </w:r>
      <w:proofErr w:type="spellEnd"/>
      <w:r w:rsidRPr="00085379">
        <w:rPr>
          <w:rFonts w:ascii="Times New Roman" w:hAnsi="Times New Roman" w:cs="Times New Roman"/>
          <w:sz w:val="24"/>
          <w:szCs w:val="24"/>
        </w:rPr>
        <w:t>-Chang Huang</w:t>
      </w:r>
      <w:r>
        <w:rPr>
          <w:rFonts w:ascii="Times New Roman" w:hAnsi="Times New Roman" w:cs="Times New Roman"/>
          <w:sz w:val="24"/>
          <w:szCs w:val="24"/>
        </w:rPr>
        <w:t>, and</w:t>
      </w:r>
      <w:r w:rsidRPr="00085379">
        <w:rPr>
          <w:rFonts w:ascii="Times New Roman" w:hAnsi="Times New Roman" w:cs="Times New Roman"/>
          <w:sz w:val="24"/>
          <w:szCs w:val="24"/>
        </w:rPr>
        <w:t xml:space="preserve"> Chang-Ching Lin</w:t>
      </w:r>
      <w:r>
        <w:rPr>
          <w:rFonts w:ascii="Times New Roman" w:hAnsi="Times New Roman" w:cs="Times New Roman"/>
          <w:sz w:val="24"/>
          <w:szCs w:val="24"/>
        </w:rPr>
        <w:t>. 2014.</w:t>
      </w:r>
      <w:r w:rsidRPr="00085379">
        <w:rPr>
          <w:rFonts w:ascii="Times New Roman" w:hAnsi="Times New Roman" w:cs="Times New Roman"/>
          <w:sz w:val="24"/>
          <w:szCs w:val="24"/>
        </w:rPr>
        <w:t xml:space="preserve"> Party Capability versus Court Preference: Why Do the ‘Haves” Come Out Ahead? – An Empirical Lesson from the Taiwan Supreme Court, </w:t>
      </w:r>
      <w:r w:rsidRPr="00833B4F">
        <w:rPr>
          <w:rFonts w:ascii="Times New Roman" w:eastAsia="Times New Roman" w:hAnsi="Times New Roman" w:cs="Times New Roman"/>
          <w:i/>
          <w:color w:val="333300"/>
          <w:sz w:val="24"/>
          <w:szCs w:val="24"/>
          <w:bdr w:val="none" w:sz="0" w:space="0" w:color="auto" w:frame="1"/>
          <w:lang w:eastAsia="es-AR"/>
        </w:rPr>
        <w:t>J Law Econ Organ</w:t>
      </w:r>
      <w:r w:rsidRPr="00085379">
        <w:rPr>
          <w:rFonts w:ascii="Times New Roman" w:eastAsia="Times New Roman" w:hAnsi="Times New Roman" w:cs="Times New Roman"/>
          <w:color w:val="333300"/>
          <w:sz w:val="24"/>
          <w:szCs w:val="24"/>
          <w:bdr w:val="none" w:sz="0" w:space="0" w:color="auto" w:frame="1"/>
          <w:lang w:eastAsia="es-AR"/>
        </w:rPr>
        <w:t>. First published online: February 5, 2014.</w:t>
      </w:r>
    </w:p>
    <w:p w14:paraId="1BB0A93A" w14:textId="77777777" w:rsidR="00C32031" w:rsidRDefault="00C32031" w:rsidP="00085379">
      <w:pPr>
        <w:spacing w:line="480" w:lineRule="auto"/>
        <w:rPr>
          <w:rFonts w:ascii="Times New Roman" w:hAnsi="Times New Roman" w:cs="Times New Roman"/>
          <w:sz w:val="24"/>
          <w:szCs w:val="24"/>
        </w:rPr>
      </w:pPr>
      <w:r w:rsidRPr="00085379">
        <w:rPr>
          <w:rFonts w:ascii="Times New Roman" w:hAnsi="Times New Roman" w:cs="Times New Roman"/>
          <w:sz w:val="24"/>
          <w:szCs w:val="24"/>
        </w:rPr>
        <w:t>Cleves,</w:t>
      </w:r>
      <w:r>
        <w:rPr>
          <w:rFonts w:ascii="Times New Roman" w:hAnsi="Times New Roman" w:cs="Times New Roman"/>
          <w:sz w:val="24"/>
          <w:szCs w:val="24"/>
        </w:rPr>
        <w:t xml:space="preserve"> </w:t>
      </w:r>
      <w:r w:rsidRPr="00085379">
        <w:rPr>
          <w:rFonts w:ascii="Times New Roman" w:hAnsi="Times New Roman" w:cs="Times New Roman"/>
          <w:sz w:val="24"/>
          <w:szCs w:val="24"/>
        </w:rPr>
        <w:t>Mario</w:t>
      </w:r>
      <w:r>
        <w:rPr>
          <w:rFonts w:ascii="Times New Roman" w:hAnsi="Times New Roman" w:cs="Times New Roman"/>
          <w:sz w:val="24"/>
          <w:szCs w:val="24"/>
        </w:rPr>
        <w:t>. 2010.</w:t>
      </w:r>
      <w:r w:rsidRPr="00085379">
        <w:rPr>
          <w:rFonts w:ascii="Times New Roman" w:hAnsi="Times New Roman" w:cs="Times New Roman"/>
          <w:sz w:val="24"/>
          <w:szCs w:val="24"/>
        </w:rPr>
        <w:t xml:space="preserve"> </w:t>
      </w:r>
      <w:r w:rsidRPr="00CB06EE">
        <w:rPr>
          <w:rFonts w:ascii="Times New Roman" w:hAnsi="Times New Roman" w:cs="Times New Roman"/>
          <w:i/>
          <w:sz w:val="24"/>
          <w:szCs w:val="24"/>
        </w:rPr>
        <w:t>An Introduction to Survival Analysis Using Stata</w:t>
      </w:r>
      <w:r w:rsidRPr="00085379">
        <w:rPr>
          <w:rFonts w:ascii="Times New Roman" w:hAnsi="Times New Roman" w:cs="Times New Roman"/>
          <w:sz w:val="24"/>
          <w:szCs w:val="24"/>
        </w:rPr>
        <w:t>, Stata Press.</w:t>
      </w:r>
    </w:p>
    <w:p w14:paraId="6358CB31" w14:textId="77777777" w:rsidR="000E59A0" w:rsidRDefault="000E59A0" w:rsidP="00085379">
      <w:pPr>
        <w:spacing w:line="480" w:lineRule="auto"/>
        <w:rPr>
          <w:rFonts w:ascii="Times New Roman" w:hAnsi="Times New Roman" w:cs="Times New Roman"/>
          <w:bCs/>
          <w:sz w:val="24"/>
          <w:szCs w:val="24"/>
        </w:rPr>
      </w:pPr>
      <w:proofErr w:type="spellStart"/>
      <w:r w:rsidRPr="00085379">
        <w:rPr>
          <w:rFonts w:ascii="Times New Roman" w:hAnsi="Times New Roman" w:cs="Times New Roman"/>
          <w:sz w:val="24"/>
          <w:szCs w:val="24"/>
        </w:rPr>
        <w:t>Dotan</w:t>
      </w:r>
      <w:proofErr w:type="spellEnd"/>
      <w:r>
        <w:rPr>
          <w:rFonts w:ascii="Times New Roman" w:hAnsi="Times New Roman" w:cs="Times New Roman"/>
          <w:sz w:val="24"/>
          <w:szCs w:val="24"/>
        </w:rPr>
        <w:t xml:space="preserve">, </w:t>
      </w:r>
      <w:proofErr w:type="spellStart"/>
      <w:r w:rsidRPr="00085379">
        <w:rPr>
          <w:rFonts w:ascii="Times New Roman" w:hAnsi="Times New Roman" w:cs="Times New Roman"/>
          <w:sz w:val="24"/>
          <w:szCs w:val="24"/>
        </w:rPr>
        <w:t>Yoav</w:t>
      </w:r>
      <w:proofErr w:type="spellEnd"/>
      <w:r>
        <w:rPr>
          <w:rFonts w:ascii="Times New Roman" w:hAnsi="Times New Roman" w:cs="Times New Roman"/>
          <w:sz w:val="24"/>
          <w:szCs w:val="24"/>
        </w:rPr>
        <w:t>.</w:t>
      </w:r>
      <w:r w:rsidRPr="00085379">
        <w:rPr>
          <w:rFonts w:ascii="Times New Roman" w:hAnsi="Times New Roman" w:cs="Times New Roman"/>
          <w:sz w:val="24"/>
          <w:szCs w:val="24"/>
        </w:rPr>
        <w:t xml:space="preserve"> </w:t>
      </w:r>
      <w:r>
        <w:rPr>
          <w:rFonts w:ascii="Times New Roman" w:hAnsi="Times New Roman" w:cs="Times New Roman"/>
          <w:sz w:val="24"/>
          <w:szCs w:val="24"/>
        </w:rPr>
        <w:t xml:space="preserve">1999. </w:t>
      </w:r>
      <w:r w:rsidRPr="00085379">
        <w:rPr>
          <w:rFonts w:ascii="Times New Roman" w:hAnsi="Times New Roman" w:cs="Times New Roman"/>
          <w:sz w:val="24"/>
          <w:szCs w:val="24"/>
        </w:rPr>
        <w:t xml:space="preserve">Do the “Haves” Still Come Out Ahead? Resource Inequalities in Ideological Courts: The Case of the Israeli High Court of Justice, </w:t>
      </w:r>
      <w:r w:rsidRPr="00833B4F">
        <w:rPr>
          <w:rFonts w:ascii="Times New Roman" w:hAnsi="Times New Roman" w:cs="Times New Roman"/>
          <w:i/>
          <w:sz w:val="24"/>
          <w:szCs w:val="24"/>
        </w:rPr>
        <w:t>Law &amp; Society Law Review</w:t>
      </w:r>
      <w:r w:rsidRPr="00085379">
        <w:rPr>
          <w:rFonts w:ascii="Times New Roman" w:hAnsi="Times New Roman" w:cs="Times New Roman"/>
          <w:sz w:val="24"/>
          <w:szCs w:val="24"/>
        </w:rPr>
        <w:t xml:space="preserve"> 33</w:t>
      </w:r>
      <w:r>
        <w:rPr>
          <w:rFonts w:ascii="Times New Roman" w:hAnsi="Times New Roman" w:cs="Times New Roman"/>
          <w:sz w:val="24"/>
          <w:szCs w:val="24"/>
        </w:rPr>
        <w:t>(</w:t>
      </w:r>
      <w:r w:rsidRPr="00085379">
        <w:rPr>
          <w:rFonts w:ascii="Times New Roman" w:hAnsi="Times New Roman" w:cs="Times New Roman"/>
          <w:sz w:val="24"/>
          <w:szCs w:val="24"/>
        </w:rPr>
        <w:t>4</w:t>
      </w:r>
      <w:r>
        <w:rPr>
          <w:rFonts w:ascii="Times New Roman" w:hAnsi="Times New Roman" w:cs="Times New Roman"/>
          <w:sz w:val="24"/>
          <w:szCs w:val="24"/>
        </w:rPr>
        <w:t>)</w:t>
      </w:r>
      <w:r w:rsidR="00103F4C">
        <w:rPr>
          <w:rFonts w:ascii="Times New Roman" w:hAnsi="Times New Roman" w:cs="Times New Roman"/>
          <w:sz w:val="24"/>
          <w:szCs w:val="24"/>
        </w:rPr>
        <w:t>1059.</w:t>
      </w:r>
    </w:p>
    <w:p w14:paraId="60780EAF" w14:textId="77777777" w:rsidR="000E59A0" w:rsidRDefault="000E59A0" w:rsidP="00085379">
      <w:pPr>
        <w:spacing w:line="480" w:lineRule="auto"/>
        <w:rPr>
          <w:rFonts w:ascii="Times New Roman" w:hAnsi="Times New Roman" w:cs="Times New Roman"/>
          <w:bCs/>
          <w:sz w:val="24"/>
          <w:szCs w:val="24"/>
        </w:rPr>
      </w:pPr>
      <w:proofErr w:type="spellStart"/>
      <w:r w:rsidRPr="00085379">
        <w:rPr>
          <w:rFonts w:ascii="Times New Roman" w:hAnsi="Times New Roman" w:cs="Times New Roman"/>
          <w:bCs/>
          <w:sz w:val="24"/>
          <w:szCs w:val="24"/>
        </w:rPr>
        <w:lastRenderedPageBreak/>
        <w:t>Dunworth</w:t>
      </w:r>
      <w:proofErr w:type="spellEnd"/>
      <w:r>
        <w:rPr>
          <w:rFonts w:ascii="Times New Roman" w:hAnsi="Times New Roman" w:cs="Times New Roman"/>
          <w:bCs/>
          <w:sz w:val="24"/>
          <w:szCs w:val="24"/>
        </w:rPr>
        <w:t xml:space="preserve">, </w:t>
      </w:r>
      <w:r w:rsidRPr="00085379">
        <w:rPr>
          <w:rFonts w:ascii="Times New Roman" w:hAnsi="Times New Roman" w:cs="Times New Roman"/>
          <w:bCs/>
          <w:sz w:val="24"/>
          <w:szCs w:val="24"/>
        </w:rPr>
        <w:t>Terence</w:t>
      </w:r>
      <w:r w:rsidR="002255BC">
        <w:rPr>
          <w:rFonts w:ascii="Times New Roman" w:hAnsi="Times New Roman" w:cs="Times New Roman"/>
          <w:bCs/>
          <w:sz w:val="24"/>
          <w:szCs w:val="24"/>
        </w:rPr>
        <w:t>,</w:t>
      </w:r>
      <w:r w:rsidRPr="00085379">
        <w:rPr>
          <w:rFonts w:ascii="Times New Roman" w:hAnsi="Times New Roman" w:cs="Times New Roman"/>
          <w:bCs/>
          <w:sz w:val="24"/>
          <w:szCs w:val="24"/>
        </w:rPr>
        <w:t xml:space="preserve"> </w:t>
      </w:r>
      <w:r>
        <w:rPr>
          <w:rFonts w:ascii="Times New Roman" w:hAnsi="Times New Roman" w:cs="Times New Roman"/>
          <w:bCs/>
          <w:sz w:val="24"/>
          <w:szCs w:val="24"/>
        </w:rPr>
        <w:t>and</w:t>
      </w:r>
      <w:r w:rsidRPr="00085379">
        <w:rPr>
          <w:rFonts w:ascii="Times New Roman" w:hAnsi="Times New Roman" w:cs="Times New Roman"/>
          <w:bCs/>
          <w:sz w:val="24"/>
          <w:szCs w:val="24"/>
        </w:rPr>
        <w:t xml:space="preserve"> </w:t>
      </w:r>
      <w:r w:rsidR="002255BC">
        <w:rPr>
          <w:rFonts w:ascii="Times New Roman" w:hAnsi="Times New Roman" w:cs="Times New Roman"/>
          <w:bCs/>
          <w:sz w:val="24"/>
          <w:szCs w:val="24"/>
        </w:rPr>
        <w:t xml:space="preserve">Joel </w:t>
      </w:r>
      <w:r w:rsidRPr="00085379">
        <w:rPr>
          <w:rFonts w:ascii="Times New Roman" w:hAnsi="Times New Roman" w:cs="Times New Roman"/>
          <w:bCs/>
          <w:sz w:val="24"/>
          <w:szCs w:val="24"/>
        </w:rPr>
        <w:t>Rogers</w:t>
      </w:r>
      <w:r>
        <w:rPr>
          <w:rFonts w:ascii="Times New Roman" w:hAnsi="Times New Roman" w:cs="Times New Roman"/>
          <w:bCs/>
          <w:sz w:val="24"/>
          <w:szCs w:val="24"/>
        </w:rPr>
        <w:t>. 1996.</w:t>
      </w:r>
      <w:r w:rsidRPr="00085379">
        <w:rPr>
          <w:rFonts w:ascii="Times New Roman" w:hAnsi="Times New Roman" w:cs="Times New Roman"/>
          <w:bCs/>
          <w:sz w:val="24"/>
          <w:szCs w:val="24"/>
        </w:rPr>
        <w:t xml:space="preserve"> Corporations in Court: Big Business Litigation in U.S. Federal Courts, 1971-1991</w:t>
      </w:r>
      <w:r>
        <w:rPr>
          <w:rFonts w:ascii="Times New Roman" w:hAnsi="Times New Roman" w:cs="Times New Roman"/>
          <w:bCs/>
          <w:sz w:val="24"/>
          <w:szCs w:val="24"/>
        </w:rPr>
        <w:t>,</w:t>
      </w:r>
      <w:r w:rsidRPr="00085379">
        <w:rPr>
          <w:rFonts w:ascii="Times New Roman" w:hAnsi="Times New Roman" w:cs="Times New Roman"/>
          <w:bCs/>
          <w:sz w:val="24"/>
          <w:szCs w:val="24"/>
        </w:rPr>
        <w:t xml:space="preserve"> </w:t>
      </w:r>
      <w:r w:rsidRPr="000E59A0">
        <w:rPr>
          <w:rFonts w:ascii="Times New Roman" w:hAnsi="Times New Roman" w:cs="Times New Roman"/>
          <w:bCs/>
          <w:i/>
          <w:sz w:val="24"/>
          <w:szCs w:val="24"/>
        </w:rPr>
        <w:t>Law &amp; Social Inquiry</w:t>
      </w:r>
      <w:r w:rsidRPr="00085379">
        <w:rPr>
          <w:rFonts w:ascii="Times New Roman" w:hAnsi="Times New Roman" w:cs="Times New Roman"/>
          <w:bCs/>
          <w:sz w:val="24"/>
          <w:szCs w:val="24"/>
        </w:rPr>
        <w:t xml:space="preserve"> </w:t>
      </w:r>
      <w:r>
        <w:rPr>
          <w:rFonts w:ascii="Times New Roman" w:hAnsi="Times New Roman" w:cs="Times New Roman"/>
          <w:bCs/>
          <w:sz w:val="24"/>
          <w:szCs w:val="24"/>
        </w:rPr>
        <w:t xml:space="preserve">21: </w:t>
      </w:r>
      <w:r w:rsidRPr="00085379">
        <w:rPr>
          <w:rFonts w:ascii="Times New Roman" w:hAnsi="Times New Roman" w:cs="Times New Roman"/>
          <w:bCs/>
          <w:sz w:val="24"/>
          <w:szCs w:val="24"/>
        </w:rPr>
        <w:t>497</w:t>
      </w:r>
      <w:r>
        <w:rPr>
          <w:rFonts w:ascii="Times New Roman" w:hAnsi="Times New Roman" w:cs="Times New Roman"/>
          <w:bCs/>
          <w:sz w:val="24"/>
          <w:szCs w:val="24"/>
        </w:rPr>
        <w:t>.</w:t>
      </w:r>
    </w:p>
    <w:p w14:paraId="78D84163" w14:textId="77777777" w:rsidR="00C544E9" w:rsidRDefault="00C544E9" w:rsidP="00085379">
      <w:pPr>
        <w:spacing w:line="480" w:lineRule="auto"/>
        <w:rPr>
          <w:rFonts w:ascii="Times New Roman" w:hAnsi="Times New Roman" w:cs="Times New Roman"/>
          <w:sz w:val="24"/>
          <w:szCs w:val="24"/>
        </w:rPr>
      </w:pPr>
      <w:r w:rsidRPr="00085379">
        <w:rPr>
          <w:rFonts w:ascii="Times New Roman" w:hAnsi="Times New Roman" w:cs="Times New Roman"/>
          <w:sz w:val="24"/>
          <w:szCs w:val="24"/>
          <w:bdr w:val="none" w:sz="0" w:space="0" w:color="auto" w:frame="1"/>
        </w:rPr>
        <w:t>Eisenberg, Theodore</w:t>
      </w:r>
      <w:r>
        <w:rPr>
          <w:rFonts w:ascii="Times New Roman" w:hAnsi="Times New Roman" w:cs="Times New Roman"/>
          <w:sz w:val="24"/>
          <w:szCs w:val="24"/>
          <w:bdr w:val="none" w:sz="0" w:space="0" w:color="auto" w:frame="1"/>
        </w:rPr>
        <w:t xml:space="preserve">, </w:t>
      </w:r>
      <w:proofErr w:type="gramStart"/>
      <w:r>
        <w:rPr>
          <w:rFonts w:ascii="Times New Roman" w:hAnsi="Times New Roman" w:cs="Times New Roman"/>
          <w:sz w:val="24"/>
          <w:szCs w:val="24"/>
          <w:bdr w:val="none" w:sz="0" w:space="0" w:color="auto" w:frame="1"/>
        </w:rPr>
        <w:t xml:space="preserve">and </w:t>
      </w:r>
      <w:r w:rsidRPr="00085379">
        <w:rPr>
          <w:rStyle w:val="apple-converted-space"/>
          <w:rFonts w:ascii="Times New Roman" w:hAnsi="Times New Roman" w:cs="Times New Roman"/>
          <w:color w:val="222222"/>
          <w:sz w:val="24"/>
          <w:szCs w:val="24"/>
          <w:shd w:val="clear" w:color="auto" w:fill="FFFFFF"/>
        </w:rPr>
        <w:t> </w:t>
      </w:r>
      <w:proofErr w:type="spellStart"/>
      <w:r w:rsidRPr="00085379">
        <w:rPr>
          <w:rFonts w:ascii="Times New Roman" w:hAnsi="Times New Roman" w:cs="Times New Roman"/>
          <w:sz w:val="24"/>
          <w:szCs w:val="24"/>
          <w:bdr w:val="none" w:sz="0" w:space="0" w:color="auto" w:frame="1"/>
        </w:rPr>
        <w:t>Kuo</w:t>
      </w:r>
      <w:proofErr w:type="gramEnd"/>
      <w:r w:rsidRPr="00085379">
        <w:rPr>
          <w:rFonts w:ascii="Times New Roman" w:hAnsi="Times New Roman" w:cs="Times New Roman"/>
          <w:sz w:val="24"/>
          <w:szCs w:val="24"/>
          <w:bdr w:val="none" w:sz="0" w:space="0" w:color="auto" w:frame="1"/>
        </w:rPr>
        <w:t>-chang</w:t>
      </w:r>
      <w:proofErr w:type="spellEnd"/>
      <w:r w:rsidRPr="00085379">
        <w:rPr>
          <w:rFonts w:ascii="Times New Roman" w:hAnsi="Times New Roman" w:cs="Times New Roman"/>
          <w:sz w:val="24"/>
          <w:szCs w:val="24"/>
          <w:bdr w:val="none" w:sz="0" w:space="0" w:color="auto" w:frame="1"/>
        </w:rPr>
        <w:t xml:space="preserve"> Huang </w:t>
      </w:r>
      <w:r>
        <w:rPr>
          <w:rFonts w:ascii="Times New Roman" w:hAnsi="Times New Roman" w:cs="Times New Roman"/>
          <w:sz w:val="24"/>
          <w:szCs w:val="24"/>
        </w:rPr>
        <w:t xml:space="preserve">. 2012. </w:t>
      </w:r>
      <w:r w:rsidRPr="00085379">
        <w:rPr>
          <w:rFonts w:ascii="Times New Roman" w:hAnsi="Times New Roman" w:cs="Times New Roman"/>
          <w:sz w:val="24"/>
          <w:szCs w:val="24"/>
        </w:rPr>
        <w:t xml:space="preserve">The effect of rules shifting supreme court jurisdiction from mandatory to </w:t>
      </w:r>
      <w:proofErr w:type="gramStart"/>
      <w:r w:rsidRPr="00085379">
        <w:rPr>
          <w:rFonts w:ascii="Times New Roman" w:hAnsi="Times New Roman" w:cs="Times New Roman"/>
          <w:sz w:val="24"/>
          <w:szCs w:val="24"/>
        </w:rPr>
        <w:t>discretionary :</w:t>
      </w:r>
      <w:proofErr w:type="gramEnd"/>
      <w:r w:rsidRPr="00085379">
        <w:rPr>
          <w:rFonts w:ascii="Times New Roman" w:hAnsi="Times New Roman" w:cs="Times New Roman"/>
          <w:sz w:val="24"/>
          <w:szCs w:val="24"/>
        </w:rPr>
        <w:t xml:space="preserve"> an empirical lesson from Taiwan, </w:t>
      </w:r>
      <w:r w:rsidRPr="00085379">
        <w:rPr>
          <w:rFonts w:ascii="Times New Roman" w:hAnsi="Times New Roman" w:cs="Times New Roman"/>
          <w:i/>
          <w:sz w:val="24"/>
          <w:szCs w:val="24"/>
          <w:bdr w:val="none" w:sz="0" w:space="0" w:color="auto" w:frame="1"/>
          <w:shd w:val="clear" w:color="auto" w:fill="FFFFFF"/>
        </w:rPr>
        <w:t>International Review of Law and Economics</w:t>
      </w:r>
      <w:r w:rsidRPr="00085379">
        <w:rPr>
          <w:rFonts w:ascii="Times New Roman" w:hAnsi="Times New Roman" w:cs="Times New Roman"/>
          <w:sz w:val="24"/>
          <w:szCs w:val="24"/>
          <w:shd w:val="clear" w:color="auto" w:fill="FFFFFF"/>
        </w:rPr>
        <w:t xml:space="preserve"> </w:t>
      </w:r>
      <w:r w:rsidRPr="00085379">
        <w:rPr>
          <w:rFonts w:ascii="Times New Roman" w:hAnsi="Times New Roman" w:cs="Times New Roman"/>
          <w:sz w:val="24"/>
          <w:szCs w:val="24"/>
        </w:rPr>
        <w:t>32</w:t>
      </w:r>
      <w:r>
        <w:rPr>
          <w:rFonts w:ascii="Times New Roman" w:hAnsi="Times New Roman" w:cs="Times New Roman"/>
          <w:sz w:val="24"/>
          <w:szCs w:val="24"/>
        </w:rPr>
        <w:t xml:space="preserve"> (1): 3</w:t>
      </w:r>
      <w:r>
        <w:rPr>
          <w:rFonts w:ascii="Times New Roman" w:hAnsi="Times New Roman" w:cs="Times New Roman"/>
          <w:sz w:val="24"/>
          <w:szCs w:val="24"/>
          <w:shd w:val="clear" w:color="auto" w:fill="FFFFFF"/>
        </w:rPr>
        <w:t>.</w:t>
      </w:r>
    </w:p>
    <w:p w14:paraId="1B516FCC" w14:textId="77777777" w:rsidR="00103F4C" w:rsidRDefault="00103F4C" w:rsidP="00085379">
      <w:pPr>
        <w:spacing w:line="480" w:lineRule="auto"/>
        <w:rPr>
          <w:rFonts w:ascii="Times New Roman" w:hAnsi="Times New Roman" w:cs="Times New Roman"/>
          <w:bCs/>
          <w:sz w:val="24"/>
          <w:szCs w:val="24"/>
        </w:rPr>
      </w:pPr>
      <w:r w:rsidRPr="00085379">
        <w:rPr>
          <w:rFonts w:ascii="Times New Roman" w:hAnsi="Times New Roman" w:cs="Times New Roman"/>
          <w:sz w:val="24"/>
          <w:szCs w:val="24"/>
        </w:rPr>
        <w:t>Eisenberg</w:t>
      </w:r>
      <w:r>
        <w:rPr>
          <w:rFonts w:ascii="Times New Roman" w:hAnsi="Times New Roman" w:cs="Times New Roman"/>
          <w:sz w:val="24"/>
          <w:szCs w:val="24"/>
        </w:rPr>
        <w:t xml:space="preserve">, </w:t>
      </w:r>
      <w:r w:rsidRPr="00085379">
        <w:rPr>
          <w:rFonts w:ascii="Times New Roman" w:hAnsi="Times New Roman" w:cs="Times New Roman"/>
          <w:sz w:val="24"/>
          <w:szCs w:val="24"/>
        </w:rPr>
        <w:t>Theodore</w:t>
      </w:r>
      <w:r w:rsidR="002255BC">
        <w:rPr>
          <w:rFonts w:ascii="Times New Roman" w:hAnsi="Times New Roman" w:cs="Times New Roman"/>
          <w:sz w:val="24"/>
          <w:szCs w:val="24"/>
        </w:rPr>
        <w:t>,</w:t>
      </w:r>
      <w:r w:rsidRPr="00085379">
        <w:rPr>
          <w:rFonts w:ascii="Times New Roman" w:hAnsi="Times New Roman" w:cs="Times New Roman"/>
          <w:sz w:val="24"/>
          <w:szCs w:val="24"/>
        </w:rPr>
        <w:t xml:space="preserve"> </w:t>
      </w:r>
      <w:r>
        <w:rPr>
          <w:rFonts w:ascii="Times New Roman" w:hAnsi="Times New Roman" w:cs="Times New Roman"/>
          <w:sz w:val="24"/>
          <w:szCs w:val="24"/>
        </w:rPr>
        <w:t>and</w:t>
      </w:r>
      <w:r w:rsidRPr="00085379">
        <w:rPr>
          <w:rFonts w:ascii="Times New Roman" w:hAnsi="Times New Roman" w:cs="Times New Roman"/>
          <w:sz w:val="24"/>
          <w:szCs w:val="24"/>
        </w:rPr>
        <w:t xml:space="preserve"> </w:t>
      </w:r>
      <w:r w:rsidR="002255BC" w:rsidRPr="00085379">
        <w:rPr>
          <w:rFonts w:ascii="Times New Roman" w:hAnsi="Times New Roman" w:cs="Times New Roman"/>
          <w:sz w:val="24"/>
          <w:szCs w:val="24"/>
        </w:rPr>
        <w:t xml:space="preserve">Geoffrey </w:t>
      </w:r>
      <w:r w:rsidRPr="00085379">
        <w:rPr>
          <w:rFonts w:ascii="Times New Roman" w:hAnsi="Times New Roman" w:cs="Times New Roman"/>
          <w:sz w:val="24"/>
          <w:szCs w:val="24"/>
        </w:rPr>
        <w:t>Miller</w:t>
      </w:r>
      <w:r>
        <w:rPr>
          <w:rFonts w:ascii="Times New Roman" w:hAnsi="Times New Roman" w:cs="Times New Roman"/>
          <w:sz w:val="24"/>
          <w:szCs w:val="24"/>
        </w:rPr>
        <w:t>. 2009.</w:t>
      </w:r>
      <w:r w:rsidRPr="00085379">
        <w:rPr>
          <w:rFonts w:ascii="Times New Roman" w:hAnsi="Times New Roman" w:cs="Times New Roman"/>
          <w:sz w:val="24"/>
          <w:szCs w:val="24"/>
        </w:rPr>
        <w:t xml:space="preserve"> Reversal, Dissent, and Variability in State Supreme Courts: The Centrality of Jurisdictional Source, </w:t>
      </w:r>
      <w:r w:rsidRPr="00085379">
        <w:rPr>
          <w:rFonts w:ascii="Times New Roman" w:hAnsi="Times New Roman" w:cs="Times New Roman"/>
          <w:i/>
          <w:sz w:val="24"/>
          <w:szCs w:val="24"/>
        </w:rPr>
        <w:t>Boston University Law Review</w:t>
      </w:r>
      <w:r w:rsidRPr="00085379">
        <w:rPr>
          <w:rFonts w:ascii="Times New Roman" w:hAnsi="Times New Roman" w:cs="Times New Roman"/>
          <w:sz w:val="24"/>
          <w:szCs w:val="24"/>
        </w:rPr>
        <w:t xml:space="preserve"> 89</w:t>
      </w:r>
      <w:r>
        <w:rPr>
          <w:rFonts w:ascii="Times New Roman" w:hAnsi="Times New Roman" w:cs="Times New Roman"/>
          <w:sz w:val="24"/>
          <w:szCs w:val="24"/>
        </w:rPr>
        <w:t xml:space="preserve">: </w:t>
      </w:r>
      <w:r w:rsidRPr="00085379">
        <w:rPr>
          <w:rFonts w:ascii="Times New Roman" w:hAnsi="Times New Roman" w:cs="Times New Roman"/>
          <w:sz w:val="24"/>
          <w:szCs w:val="24"/>
        </w:rPr>
        <w:t>1451.</w:t>
      </w:r>
    </w:p>
    <w:p w14:paraId="1E3AB044" w14:textId="77777777" w:rsidR="000E59A0" w:rsidRDefault="000E59A0" w:rsidP="00085379">
      <w:pPr>
        <w:spacing w:line="480" w:lineRule="auto"/>
        <w:rPr>
          <w:rFonts w:ascii="Times New Roman" w:hAnsi="Times New Roman" w:cs="Times New Roman"/>
          <w:b/>
          <w:sz w:val="24"/>
          <w:szCs w:val="24"/>
        </w:rPr>
      </w:pPr>
      <w:proofErr w:type="spellStart"/>
      <w:r w:rsidRPr="00085379">
        <w:rPr>
          <w:rFonts w:ascii="Times New Roman" w:hAnsi="Times New Roman" w:cs="Times New Roman"/>
          <w:bCs/>
          <w:sz w:val="24"/>
          <w:szCs w:val="24"/>
        </w:rPr>
        <w:t>Farole</w:t>
      </w:r>
      <w:proofErr w:type="spellEnd"/>
      <w:r w:rsidRPr="00085379">
        <w:rPr>
          <w:rFonts w:ascii="Times New Roman" w:hAnsi="Times New Roman" w:cs="Times New Roman"/>
          <w:bCs/>
          <w:sz w:val="24"/>
          <w:szCs w:val="24"/>
        </w:rPr>
        <w:t>, Donald Jr.</w:t>
      </w:r>
      <w:r>
        <w:rPr>
          <w:rFonts w:ascii="Times New Roman" w:hAnsi="Times New Roman" w:cs="Times New Roman"/>
          <w:bCs/>
          <w:sz w:val="24"/>
          <w:szCs w:val="24"/>
        </w:rPr>
        <w:t xml:space="preserve"> 1999.</w:t>
      </w:r>
      <w:r w:rsidRPr="00085379">
        <w:rPr>
          <w:rFonts w:ascii="Times New Roman" w:hAnsi="Times New Roman" w:cs="Times New Roman"/>
          <w:bCs/>
          <w:sz w:val="24"/>
          <w:szCs w:val="24"/>
        </w:rPr>
        <w:t xml:space="preserve"> Reexamining Litigant Success in State Supreme Courts, </w:t>
      </w:r>
      <w:r w:rsidRPr="000E59A0">
        <w:rPr>
          <w:rFonts w:ascii="Times New Roman" w:hAnsi="Times New Roman" w:cs="Times New Roman"/>
          <w:bCs/>
          <w:i/>
          <w:sz w:val="24"/>
          <w:szCs w:val="24"/>
        </w:rPr>
        <w:t>Law &amp; Society Review</w:t>
      </w:r>
      <w:r w:rsidRPr="00085379">
        <w:rPr>
          <w:rFonts w:ascii="Times New Roman" w:hAnsi="Times New Roman" w:cs="Times New Roman"/>
          <w:bCs/>
          <w:sz w:val="24"/>
          <w:szCs w:val="24"/>
        </w:rPr>
        <w:t xml:space="preserve"> </w:t>
      </w:r>
      <w:r>
        <w:rPr>
          <w:rFonts w:ascii="Times New Roman" w:hAnsi="Times New Roman" w:cs="Times New Roman"/>
          <w:bCs/>
          <w:sz w:val="24"/>
          <w:szCs w:val="24"/>
        </w:rPr>
        <w:t xml:space="preserve">33: </w:t>
      </w:r>
      <w:r w:rsidRPr="00085379">
        <w:rPr>
          <w:rFonts w:ascii="Times New Roman" w:hAnsi="Times New Roman" w:cs="Times New Roman"/>
          <w:bCs/>
          <w:sz w:val="24"/>
          <w:szCs w:val="24"/>
        </w:rPr>
        <w:t>1043</w:t>
      </w:r>
      <w:r>
        <w:rPr>
          <w:rFonts w:ascii="Times New Roman" w:hAnsi="Times New Roman" w:cs="Times New Roman"/>
          <w:bCs/>
          <w:sz w:val="24"/>
          <w:szCs w:val="24"/>
        </w:rPr>
        <w:t>.</w:t>
      </w:r>
    </w:p>
    <w:p w14:paraId="4C88DB4C" w14:textId="77777777" w:rsidR="00CB06EE" w:rsidRDefault="00CB06EE" w:rsidP="00085379">
      <w:pPr>
        <w:spacing w:line="480" w:lineRule="auto"/>
        <w:rPr>
          <w:rFonts w:ascii="Times New Roman" w:hAnsi="Times New Roman" w:cs="Times New Roman"/>
          <w:sz w:val="24"/>
          <w:szCs w:val="24"/>
        </w:rPr>
      </w:pPr>
      <w:r w:rsidRPr="00085379">
        <w:rPr>
          <w:rFonts w:ascii="Times New Roman" w:hAnsi="Times New Roman" w:cs="Times New Roman"/>
          <w:sz w:val="24"/>
          <w:szCs w:val="24"/>
        </w:rPr>
        <w:t>Fontana</w:t>
      </w:r>
      <w:r>
        <w:rPr>
          <w:rFonts w:ascii="Times New Roman" w:hAnsi="Times New Roman" w:cs="Times New Roman"/>
          <w:sz w:val="24"/>
          <w:szCs w:val="24"/>
        </w:rPr>
        <w:t xml:space="preserve">, </w:t>
      </w:r>
      <w:r w:rsidRPr="00085379">
        <w:rPr>
          <w:rFonts w:ascii="Times New Roman" w:hAnsi="Times New Roman" w:cs="Times New Roman"/>
          <w:sz w:val="24"/>
          <w:szCs w:val="24"/>
        </w:rPr>
        <w:t>David</w:t>
      </w:r>
      <w:r>
        <w:rPr>
          <w:rFonts w:ascii="Times New Roman" w:hAnsi="Times New Roman" w:cs="Times New Roman"/>
          <w:sz w:val="24"/>
          <w:szCs w:val="24"/>
        </w:rPr>
        <w:t>. 2011.</w:t>
      </w:r>
      <w:r w:rsidRPr="00085379">
        <w:rPr>
          <w:rFonts w:ascii="Times New Roman" w:hAnsi="Times New Roman" w:cs="Times New Roman"/>
          <w:sz w:val="24"/>
          <w:szCs w:val="24"/>
        </w:rPr>
        <w:t xml:space="preserve"> Docket Control and the Success of Constitutional Courts, in </w:t>
      </w:r>
      <w:r w:rsidRPr="00CB06EE">
        <w:rPr>
          <w:rFonts w:ascii="Times New Roman" w:hAnsi="Times New Roman" w:cs="Times New Roman"/>
          <w:i/>
          <w:sz w:val="24"/>
          <w:szCs w:val="24"/>
        </w:rPr>
        <w:t xml:space="preserve">Comparative </w:t>
      </w:r>
      <w:r>
        <w:rPr>
          <w:rFonts w:ascii="Times New Roman" w:hAnsi="Times New Roman" w:cs="Times New Roman"/>
          <w:i/>
          <w:sz w:val="24"/>
          <w:szCs w:val="24"/>
        </w:rPr>
        <w:t>C</w:t>
      </w:r>
      <w:r w:rsidRPr="00CB06EE">
        <w:rPr>
          <w:rFonts w:ascii="Times New Roman" w:hAnsi="Times New Roman" w:cs="Times New Roman"/>
          <w:i/>
          <w:sz w:val="24"/>
          <w:szCs w:val="24"/>
        </w:rPr>
        <w:t xml:space="preserve">onstitutional </w:t>
      </w:r>
      <w:r>
        <w:rPr>
          <w:rFonts w:ascii="Times New Roman" w:hAnsi="Times New Roman" w:cs="Times New Roman"/>
          <w:i/>
          <w:sz w:val="24"/>
          <w:szCs w:val="24"/>
        </w:rPr>
        <w:t>L</w:t>
      </w:r>
      <w:r w:rsidRPr="00CB06EE">
        <w:rPr>
          <w:rFonts w:ascii="Times New Roman" w:hAnsi="Times New Roman" w:cs="Times New Roman"/>
          <w:i/>
          <w:sz w:val="24"/>
          <w:szCs w:val="24"/>
        </w:rPr>
        <w:t>aw</w:t>
      </w:r>
      <w:r w:rsidRPr="00085379">
        <w:rPr>
          <w:rFonts w:ascii="Times New Roman" w:hAnsi="Times New Roman" w:cs="Times New Roman"/>
          <w:sz w:val="24"/>
          <w:szCs w:val="24"/>
        </w:rPr>
        <w:t>, Tom Ginsburg &amp; Rosalind Dixon, eds., Edward Elgar Publishing</w:t>
      </w:r>
      <w:r>
        <w:rPr>
          <w:rFonts w:ascii="Times New Roman" w:hAnsi="Times New Roman" w:cs="Times New Roman"/>
          <w:sz w:val="24"/>
          <w:szCs w:val="24"/>
        </w:rPr>
        <w:t>.</w:t>
      </w:r>
    </w:p>
    <w:p w14:paraId="3951CE19" w14:textId="77777777" w:rsidR="0046568D" w:rsidRDefault="0046568D" w:rsidP="00085379">
      <w:pPr>
        <w:spacing w:line="480" w:lineRule="auto"/>
        <w:rPr>
          <w:rFonts w:ascii="Times New Roman" w:hAnsi="Times New Roman" w:cs="Times New Roman"/>
          <w:sz w:val="24"/>
          <w:szCs w:val="24"/>
        </w:rPr>
      </w:pPr>
      <w:proofErr w:type="spellStart"/>
      <w:r w:rsidRPr="0046568D">
        <w:rPr>
          <w:rFonts w:ascii="Times New Roman" w:hAnsi="Times New Roman" w:cs="Times New Roman"/>
          <w:sz w:val="24"/>
          <w:szCs w:val="24"/>
        </w:rPr>
        <w:t>Galanter</w:t>
      </w:r>
      <w:proofErr w:type="spellEnd"/>
      <w:r w:rsidRPr="0046568D">
        <w:rPr>
          <w:rFonts w:ascii="Times New Roman" w:hAnsi="Times New Roman" w:cs="Times New Roman"/>
          <w:sz w:val="24"/>
          <w:szCs w:val="24"/>
        </w:rPr>
        <w:t>, Marc. 1974.</w:t>
      </w:r>
      <w:r>
        <w:rPr>
          <w:rFonts w:ascii="Times New Roman" w:hAnsi="Times New Roman" w:cs="Times New Roman"/>
          <w:b/>
          <w:sz w:val="24"/>
          <w:szCs w:val="24"/>
        </w:rPr>
        <w:t xml:space="preserve"> </w:t>
      </w:r>
      <w:r w:rsidRPr="00085379">
        <w:rPr>
          <w:rFonts w:ascii="Times New Roman" w:hAnsi="Times New Roman" w:cs="Times New Roman"/>
          <w:sz w:val="24"/>
          <w:szCs w:val="24"/>
        </w:rPr>
        <w:t>Why the ‘Haves’ Come out Ahead: Speculations on the Limits of Legal Change</w:t>
      </w:r>
      <w:r>
        <w:rPr>
          <w:rFonts w:ascii="Times New Roman" w:hAnsi="Times New Roman" w:cs="Times New Roman"/>
          <w:sz w:val="24"/>
          <w:szCs w:val="24"/>
        </w:rPr>
        <w:t xml:space="preserve">, </w:t>
      </w:r>
      <w:r w:rsidRPr="000E59A0">
        <w:rPr>
          <w:rFonts w:ascii="Times New Roman" w:hAnsi="Times New Roman" w:cs="Times New Roman"/>
          <w:i/>
          <w:sz w:val="24"/>
          <w:szCs w:val="24"/>
        </w:rPr>
        <w:t>Law &amp; Society Review</w:t>
      </w:r>
      <w:r>
        <w:rPr>
          <w:rFonts w:ascii="Times New Roman" w:hAnsi="Times New Roman" w:cs="Times New Roman"/>
          <w:sz w:val="24"/>
          <w:szCs w:val="24"/>
        </w:rPr>
        <w:t xml:space="preserve"> 9: 95</w:t>
      </w:r>
      <w:r w:rsidR="002255BC">
        <w:rPr>
          <w:rFonts w:ascii="Times New Roman" w:hAnsi="Times New Roman" w:cs="Times New Roman"/>
          <w:sz w:val="24"/>
          <w:szCs w:val="24"/>
        </w:rPr>
        <w:t>.</w:t>
      </w:r>
    </w:p>
    <w:p w14:paraId="125C669B" w14:textId="77777777" w:rsidR="002255BC" w:rsidRDefault="002255BC" w:rsidP="00085379">
      <w:pPr>
        <w:spacing w:line="480" w:lineRule="auto"/>
        <w:rPr>
          <w:rFonts w:ascii="Times New Roman" w:hAnsi="Times New Roman" w:cs="Times New Roman"/>
          <w:sz w:val="24"/>
          <w:szCs w:val="24"/>
        </w:rPr>
      </w:pPr>
      <w:proofErr w:type="spellStart"/>
      <w:r w:rsidRPr="00085379">
        <w:rPr>
          <w:rFonts w:ascii="Times New Roman" w:hAnsi="Times New Roman" w:cs="Times New Roman"/>
          <w:sz w:val="24"/>
          <w:szCs w:val="24"/>
        </w:rPr>
        <w:t>Garay</w:t>
      </w:r>
      <w:proofErr w:type="spellEnd"/>
      <w:r>
        <w:rPr>
          <w:rFonts w:ascii="Times New Roman" w:hAnsi="Times New Roman" w:cs="Times New Roman"/>
          <w:sz w:val="24"/>
          <w:szCs w:val="24"/>
        </w:rPr>
        <w:t xml:space="preserve">, </w:t>
      </w:r>
      <w:r w:rsidRPr="00085379">
        <w:rPr>
          <w:rFonts w:ascii="Times New Roman" w:hAnsi="Times New Roman" w:cs="Times New Roman"/>
          <w:sz w:val="24"/>
          <w:szCs w:val="24"/>
        </w:rPr>
        <w:t>Alberto</w:t>
      </w:r>
      <w:r>
        <w:rPr>
          <w:rFonts w:ascii="Times New Roman" w:hAnsi="Times New Roman" w:cs="Times New Roman"/>
          <w:sz w:val="24"/>
          <w:szCs w:val="24"/>
        </w:rPr>
        <w:t>. 1991.</w:t>
      </w:r>
      <w:r w:rsidRPr="00085379">
        <w:rPr>
          <w:rFonts w:ascii="Times New Roman" w:hAnsi="Times New Roman" w:cs="Times New Roman"/>
          <w:sz w:val="24"/>
          <w:szCs w:val="24"/>
        </w:rPr>
        <w:t xml:space="preserve"> Federalism, the Judiciary, and Constitutional Adjudication in Argentina: A Comparison with the U.S. Constitutional Model</w:t>
      </w:r>
      <w:r>
        <w:rPr>
          <w:rFonts w:ascii="Times New Roman" w:hAnsi="Times New Roman" w:cs="Times New Roman"/>
          <w:sz w:val="24"/>
          <w:szCs w:val="24"/>
        </w:rPr>
        <w:t>,</w:t>
      </w:r>
      <w:r w:rsidRPr="00085379">
        <w:rPr>
          <w:rFonts w:ascii="Times New Roman" w:hAnsi="Times New Roman" w:cs="Times New Roman"/>
          <w:sz w:val="24"/>
          <w:szCs w:val="24"/>
        </w:rPr>
        <w:t xml:space="preserve"> </w:t>
      </w:r>
      <w:r w:rsidRPr="00085379">
        <w:rPr>
          <w:rFonts w:ascii="Times New Roman" w:hAnsi="Times New Roman" w:cs="Times New Roman"/>
          <w:i/>
          <w:iCs/>
          <w:sz w:val="24"/>
          <w:szCs w:val="24"/>
        </w:rPr>
        <w:t xml:space="preserve">University of Miami Inter-American Law Review </w:t>
      </w:r>
      <w:r w:rsidRPr="00833B4F">
        <w:rPr>
          <w:rFonts w:ascii="Times New Roman" w:hAnsi="Times New Roman" w:cs="Times New Roman"/>
          <w:iCs/>
          <w:sz w:val="24"/>
          <w:szCs w:val="24"/>
        </w:rPr>
        <w:t>22</w:t>
      </w:r>
      <w:r>
        <w:rPr>
          <w:rFonts w:ascii="Times New Roman" w:hAnsi="Times New Roman" w:cs="Times New Roman"/>
          <w:sz w:val="24"/>
          <w:szCs w:val="24"/>
        </w:rPr>
        <w:t xml:space="preserve">: </w:t>
      </w:r>
      <w:r w:rsidRPr="00085379">
        <w:rPr>
          <w:rFonts w:ascii="Times New Roman" w:hAnsi="Times New Roman" w:cs="Times New Roman"/>
          <w:sz w:val="24"/>
          <w:szCs w:val="24"/>
        </w:rPr>
        <w:t>161, 172.</w:t>
      </w:r>
    </w:p>
    <w:p w14:paraId="7DD913C2" w14:textId="77777777" w:rsidR="000E59A0" w:rsidRDefault="000E59A0" w:rsidP="00085379">
      <w:pPr>
        <w:spacing w:line="480" w:lineRule="auto"/>
        <w:rPr>
          <w:rFonts w:ascii="Times New Roman" w:hAnsi="Times New Roman" w:cs="Times New Roman"/>
        </w:rPr>
      </w:pPr>
      <w:proofErr w:type="spellStart"/>
      <w:r w:rsidRPr="00085379">
        <w:rPr>
          <w:rFonts w:ascii="Times New Roman" w:hAnsi="Times New Roman" w:cs="Times New Roman"/>
          <w:sz w:val="24"/>
          <w:szCs w:val="24"/>
        </w:rPr>
        <w:lastRenderedPageBreak/>
        <w:t>Haynie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Stacia</w:t>
      </w:r>
      <w:proofErr w:type="spellEnd"/>
      <w:r>
        <w:rPr>
          <w:rFonts w:ascii="Times New Roman" w:hAnsi="Times New Roman" w:cs="Times New Roman"/>
          <w:sz w:val="24"/>
          <w:szCs w:val="24"/>
        </w:rPr>
        <w:t>. 1994.</w:t>
      </w:r>
      <w:r w:rsidRPr="00085379">
        <w:rPr>
          <w:rFonts w:ascii="Times New Roman" w:hAnsi="Times New Roman" w:cs="Times New Roman"/>
          <w:sz w:val="24"/>
          <w:szCs w:val="24"/>
        </w:rPr>
        <w:t xml:space="preserve"> Resource Inequalities and Litigation Outcomes in the Philippine Supreme Court, </w:t>
      </w:r>
      <w:r w:rsidRPr="00833B4F">
        <w:rPr>
          <w:rFonts w:ascii="Times New Roman" w:hAnsi="Times New Roman" w:cs="Times New Roman"/>
          <w:i/>
          <w:sz w:val="24"/>
          <w:szCs w:val="24"/>
        </w:rPr>
        <w:t>The Journal of Politics</w:t>
      </w:r>
      <w:r w:rsidRPr="00085379">
        <w:rPr>
          <w:rFonts w:ascii="Times New Roman" w:hAnsi="Times New Roman" w:cs="Times New Roman"/>
          <w:sz w:val="24"/>
          <w:szCs w:val="24"/>
        </w:rPr>
        <w:t xml:space="preserve"> 56</w:t>
      </w:r>
      <w:r>
        <w:rPr>
          <w:rFonts w:ascii="Times New Roman" w:hAnsi="Times New Roman" w:cs="Times New Roman"/>
          <w:sz w:val="24"/>
          <w:szCs w:val="24"/>
        </w:rPr>
        <w:t>(</w:t>
      </w:r>
      <w:r w:rsidRPr="00085379">
        <w:rPr>
          <w:rFonts w:ascii="Times New Roman" w:hAnsi="Times New Roman" w:cs="Times New Roman"/>
          <w:sz w:val="24"/>
          <w:szCs w:val="24"/>
        </w:rPr>
        <w:t>3</w:t>
      </w:r>
      <w:r>
        <w:rPr>
          <w:rFonts w:ascii="Times New Roman" w:hAnsi="Times New Roman" w:cs="Times New Roman"/>
          <w:sz w:val="24"/>
          <w:szCs w:val="24"/>
        </w:rPr>
        <w:t>):</w:t>
      </w:r>
      <w:r w:rsidRPr="00085379">
        <w:rPr>
          <w:rFonts w:ascii="Times New Roman" w:hAnsi="Times New Roman" w:cs="Times New Roman"/>
          <w:sz w:val="24"/>
          <w:szCs w:val="24"/>
        </w:rPr>
        <w:t xml:space="preserve"> 1059.</w:t>
      </w:r>
    </w:p>
    <w:p w14:paraId="0BD7F650" w14:textId="77777777" w:rsidR="00C544E9" w:rsidRPr="00CB06EE" w:rsidRDefault="00C544E9" w:rsidP="00085379">
      <w:pPr>
        <w:spacing w:line="480" w:lineRule="auto"/>
        <w:rPr>
          <w:rFonts w:ascii="Times New Roman" w:hAnsi="Times New Roman" w:cs="Times New Roman"/>
          <w:lang w:val="es-AR"/>
        </w:rPr>
      </w:pPr>
      <w:r w:rsidRPr="00085379">
        <w:rPr>
          <w:rFonts w:ascii="Times New Roman" w:eastAsia="Times New Roman" w:hAnsi="Times New Roman" w:cs="Times New Roman"/>
          <w:sz w:val="24"/>
          <w:szCs w:val="24"/>
          <w:lang w:val="es-AR"/>
        </w:rPr>
        <w:t>Kapiszewski,</w:t>
      </w:r>
      <w:r>
        <w:rPr>
          <w:rFonts w:ascii="Times New Roman" w:eastAsia="Times New Roman" w:hAnsi="Times New Roman" w:cs="Times New Roman"/>
          <w:sz w:val="24"/>
          <w:szCs w:val="24"/>
          <w:lang w:val="es-AR"/>
        </w:rPr>
        <w:t xml:space="preserve"> </w:t>
      </w:r>
      <w:r w:rsidRPr="00085379">
        <w:rPr>
          <w:rFonts w:ascii="Times New Roman" w:eastAsia="Times New Roman" w:hAnsi="Times New Roman" w:cs="Times New Roman"/>
          <w:sz w:val="24"/>
          <w:szCs w:val="24"/>
          <w:lang w:val="es-AR"/>
        </w:rPr>
        <w:t>Diana</w:t>
      </w:r>
      <w:r>
        <w:rPr>
          <w:rFonts w:ascii="Times New Roman" w:eastAsia="Times New Roman" w:hAnsi="Times New Roman" w:cs="Times New Roman"/>
          <w:sz w:val="24"/>
          <w:szCs w:val="24"/>
          <w:lang w:val="es-AR"/>
        </w:rPr>
        <w:t>. 2006.</w:t>
      </w:r>
      <w:r w:rsidRPr="00085379">
        <w:rPr>
          <w:rFonts w:ascii="Times New Roman" w:eastAsia="Times New Roman" w:hAnsi="Times New Roman" w:cs="Times New Roman"/>
          <w:sz w:val="24"/>
          <w:szCs w:val="24"/>
          <w:lang w:val="es-AR"/>
        </w:rPr>
        <w:t xml:space="preserve"> La Corte Suprema y la Política Constituci</w:t>
      </w:r>
      <w:r>
        <w:rPr>
          <w:rFonts w:ascii="Times New Roman" w:eastAsia="Times New Roman" w:hAnsi="Times New Roman" w:cs="Times New Roman"/>
          <w:sz w:val="24"/>
          <w:szCs w:val="24"/>
          <w:lang w:val="es-AR"/>
        </w:rPr>
        <w:t>onal en la Argentina Post-Menem,</w:t>
      </w:r>
      <w:r w:rsidRPr="00085379">
        <w:rPr>
          <w:rFonts w:ascii="Times New Roman" w:eastAsia="Times New Roman" w:hAnsi="Times New Roman" w:cs="Times New Roman"/>
          <w:sz w:val="24"/>
          <w:szCs w:val="24"/>
          <w:lang w:val="es-AR"/>
        </w:rPr>
        <w:t xml:space="preserve"> </w:t>
      </w:r>
      <w:r w:rsidRPr="00085379">
        <w:rPr>
          <w:rFonts w:ascii="Times New Roman" w:eastAsia="Times New Roman" w:hAnsi="Times New Roman" w:cs="Times New Roman"/>
          <w:i/>
          <w:sz w:val="24"/>
          <w:szCs w:val="24"/>
          <w:lang w:val="es-AR"/>
        </w:rPr>
        <w:t>Revista Jur</w:t>
      </w:r>
      <w:r w:rsidRPr="00085379">
        <w:rPr>
          <w:rFonts w:ascii="Times New Roman" w:eastAsia="Times New Roman" w:hAnsi="Times New Roman" w:cs="Times New Roman"/>
          <w:i/>
          <w:sz w:val="24"/>
          <w:szCs w:val="24"/>
          <w:lang w:val="es-ES_tradnl"/>
        </w:rPr>
        <w:t>í</w:t>
      </w:r>
      <w:r w:rsidRPr="00085379">
        <w:rPr>
          <w:rFonts w:ascii="Times New Roman" w:eastAsia="Times New Roman" w:hAnsi="Times New Roman" w:cs="Times New Roman"/>
          <w:i/>
          <w:sz w:val="24"/>
          <w:szCs w:val="24"/>
          <w:lang w:val="es-AR"/>
        </w:rPr>
        <w:t>dica de la Universidad de Palermo</w:t>
      </w:r>
      <w:r w:rsidR="00B31D43">
        <w:rPr>
          <w:rFonts w:ascii="Times New Roman" w:eastAsia="Times New Roman" w:hAnsi="Times New Roman" w:cs="Times New Roman"/>
          <w:sz w:val="24"/>
          <w:szCs w:val="24"/>
          <w:lang w:val="es-AR"/>
        </w:rPr>
        <w:t xml:space="preserve"> 7(1): 11</w:t>
      </w:r>
      <w:r w:rsidRPr="00085379">
        <w:rPr>
          <w:rFonts w:ascii="Times New Roman" w:eastAsia="Times New Roman" w:hAnsi="Times New Roman" w:cs="Times New Roman"/>
          <w:sz w:val="24"/>
          <w:szCs w:val="24"/>
          <w:lang w:val="es-AR"/>
        </w:rPr>
        <w:t>.</w:t>
      </w:r>
    </w:p>
    <w:p w14:paraId="7710FFD9" w14:textId="77777777" w:rsidR="00B31D43" w:rsidRDefault="00B31D43" w:rsidP="00085379">
      <w:pPr>
        <w:spacing w:line="480" w:lineRule="auto"/>
        <w:rPr>
          <w:rFonts w:ascii="Times New Roman" w:hAnsi="Times New Roman" w:cs="Times New Roman"/>
          <w:sz w:val="24"/>
          <w:szCs w:val="24"/>
        </w:rPr>
      </w:pPr>
      <w:proofErr w:type="spellStart"/>
      <w:proofErr w:type="gramStart"/>
      <w:r w:rsidRPr="00085379">
        <w:rPr>
          <w:rFonts w:ascii="Times New Roman" w:hAnsi="Times New Roman" w:cs="Times New Roman"/>
          <w:sz w:val="24"/>
          <w:szCs w:val="24"/>
        </w:rPr>
        <w:t>Kastellec</w:t>
      </w:r>
      <w:proofErr w:type="spellEnd"/>
      <w:r w:rsidRPr="00085379">
        <w:rPr>
          <w:rFonts w:ascii="Times New Roman" w:hAnsi="Times New Roman" w:cs="Times New Roman"/>
          <w:sz w:val="24"/>
          <w:szCs w:val="24"/>
        </w:rPr>
        <w:t>, J., &amp; J. Lax</w:t>
      </w:r>
      <w:r>
        <w:rPr>
          <w:rFonts w:ascii="Times New Roman" w:hAnsi="Times New Roman" w:cs="Times New Roman"/>
          <w:sz w:val="24"/>
          <w:szCs w:val="24"/>
        </w:rPr>
        <w:t>.</w:t>
      </w:r>
      <w:proofErr w:type="gramEnd"/>
      <w:r w:rsidRPr="00085379">
        <w:rPr>
          <w:rFonts w:ascii="Times New Roman" w:hAnsi="Times New Roman" w:cs="Times New Roman"/>
          <w:sz w:val="24"/>
          <w:szCs w:val="24"/>
        </w:rPr>
        <w:t xml:space="preserve"> (2008) “Case Selection and the</w:t>
      </w:r>
      <w:r>
        <w:rPr>
          <w:rFonts w:ascii="Times New Roman" w:hAnsi="Times New Roman" w:cs="Times New Roman"/>
          <w:sz w:val="24"/>
          <w:szCs w:val="24"/>
        </w:rPr>
        <w:t xml:space="preserve"> Study of Judicial Politics,” </w:t>
      </w:r>
      <w:r w:rsidRPr="00085379">
        <w:rPr>
          <w:rFonts w:ascii="Times New Roman" w:hAnsi="Times New Roman" w:cs="Times New Roman"/>
          <w:i/>
          <w:iCs/>
          <w:sz w:val="24"/>
          <w:szCs w:val="24"/>
        </w:rPr>
        <w:t xml:space="preserve">J. Empirical Legal Studies </w:t>
      </w:r>
      <w:r>
        <w:rPr>
          <w:rFonts w:ascii="Times New Roman" w:hAnsi="Times New Roman" w:cs="Times New Roman"/>
          <w:iCs/>
          <w:sz w:val="24"/>
          <w:szCs w:val="24"/>
        </w:rPr>
        <w:t xml:space="preserve">5: </w:t>
      </w:r>
      <w:r w:rsidRPr="00085379">
        <w:rPr>
          <w:rFonts w:ascii="Times New Roman" w:hAnsi="Times New Roman" w:cs="Times New Roman"/>
          <w:sz w:val="24"/>
          <w:szCs w:val="24"/>
        </w:rPr>
        <w:t>407.</w:t>
      </w:r>
    </w:p>
    <w:p w14:paraId="62342F27" w14:textId="77777777" w:rsidR="00B31D43" w:rsidRPr="00204055" w:rsidRDefault="00B31D43" w:rsidP="00085379">
      <w:pPr>
        <w:spacing w:line="480" w:lineRule="auto"/>
        <w:rPr>
          <w:rFonts w:ascii="Times New Roman" w:hAnsi="Times New Roman" w:cs="Times New Roman"/>
          <w:sz w:val="24"/>
          <w:szCs w:val="24"/>
        </w:rPr>
      </w:pPr>
      <w:r w:rsidRPr="00085379">
        <w:rPr>
          <w:rFonts w:ascii="Times New Roman" w:hAnsi="Times New Roman" w:cs="Times New Roman"/>
          <w:sz w:val="24"/>
          <w:szCs w:val="24"/>
        </w:rPr>
        <w:t xml:space="preserve">Lazarus, </w:t>
      </w:r>
      <w:r>
        <w:rPr>
          <w:rFonts w:ascii="Times New Roman" w:hAnsi="Times New Roman" w:cs="Times New Roman"/>
          <w:sz w:val="24"/>
          <w:szCs w:val="24"/>
        </w:rPr>
        <w:t>Richard. 2009.</w:t>
      </w:r>
      <w:r w:rsidRPr="00085379">
        <w:rPr>
          <w:rFonts w:ascii="Times New Roman" w:hAnsi="Times New Roman" w:cs="Times New Roman"/>
          <w:i/>
          <w:iCs/>
          <w:sz w:val="24"/>
          <w:szCs w:val="24"/>
        </w:rPr>
        <w:t xml:space="preserve"> Dock</w:t>
      </w:r>
      <w:r w:rsidRPr="00204055">
        <w:rPr>
          <w:rFonts w:ascii="Times New Roman" w:hAnsi="Times New Roman" w:cs="Times New Roman"/>
          <w:i/>
          <w:iCs/>
          <w:sz w:val="24"/>
          <w:szCs w:val="24"/>
        </w:rPr>
        <w:t>et Capture at the High Court</w:t>
      </w:r>
      <w:r w:rsidRPr="00204055">
        <w:rPr>
          <w:rFonts w:ascii="Times New Roman" w:hAnsi="Times New Roman" w:cs="Times New Roman"/>
          <w:sz w:val="24"/>
          <w:szCs w:val="24"/>
        </w:rPr>
        <w:t>, YALE L.J. ONLINE 119: 89.</w:t>
      </w:r>
    </w:p>
    <w:p w14:paraId="0701C6CF" w14:textId="77777777" w:rsidR="00833B4F" w:rsidRPr="00204055" w:rsidRDefault="0046568D" w:rsidP="00085379">
      <w:pPr>
        <w:spacing w:line="480" w:lineRule="auto"/>
        <w:rPr>
          <w:rFonts w:ascii="Times New Roman" w:hAnsi="Times New Roman" w:cs="Times New Roman"/>
          <w:sz w:val="24"/>
          <w:szCs w:val="24"/>
        </w:rPr>
      </w:pPr>
      <w:r w:rsidRPr="00204055">
        <w:rPr>
          <w:rFonts w:ascii="Times New Roman" w:hAnsi="Times New Roman" w:cs="Times New Roman"/>
          <w:sz w:val="24"/>
          <w:szCs w:val="24"/>
        </w:rPr>
        <w:t xml:space="preserve">McCormick, Peter. 1993. Party Capability Theory and Appellate Success in the Supreme Court of Canada, 1949-1992, </w:t>
      </w:r>
      <w:r w:rsidRPr="00204055">
        <w:rPr>
          <w:rFonts w:ascii="Times New Roman" w:hAnsi="Times New Roman" w:cs="Times New Roman"/>
          <w:i/>
          <w:sz w:val="24"/>
          <w:szCs w:val="24"/>
        </w:rPr>
        <w:t>Canadian Journal of Political Science</w:t>
      </w:r>
      <w:r w:rsidRPr="00204055">
        <w:rPr>
          <w:rFonts w:ascii="Times New Roman" w:hAnsi="Times New Roman" w:cs="Times New Roman"/>
          <w:sz w:val="24"/>
          <w:szCs w:val="24"/>
        </w:rPr>
        <w:t xml:space="preserve"> 26: 523, 525.</w:t>
      </w:r>
    </w:p>
    <w:p w14:paraId="6A34AC4B" w14:textId="77777777" w:rsidR="00C32031" w:rsidRDefault="00C32031" w:rsidP="00085379">
      <w:pPr>
        <w:spacing w:line="480" w:lineRule="auto"/>
        <w:rPr>
          <w:rFonts w:ascii="Times New Roman" w:hAnsi="Times New Roman" w:cs="Times New Roman"/>
          <w:sz w:val="24"/>
          <w:szCs w:val="24"/>
        </w:rPr>
      </w:pPr>
      <w:r w:rsidRPr="00204055">
        <w:rPr>
          <w:rFonts w:ascii="Times New Roman" w:hAnsi="Times New Roman" w:cs="Times New Roman"/>
          <w:sz w:val="24"/>
          <w:szCs w:val="24"/>
        </w:rPr>
        <w:t xml:space="preserve">Miller, Johnathan, </w:t>
      </w:r>
      <w:proofErr w:type="spellStart"/>
      <w:r w:rsidRPr="00204055">
        <w:rPr>
          <w:rFonts w:ascii="Times New Roman" w:hAnsi="Times New Roman" w:cs="Times New Roman"/>
          <w:sz w:val="24"/>
          <w:szCs w:val="24"/>
        </w:rPr>
        <w:t>nd</w:t>
      </w:r>
      <w:proofErr w:type="spellEnd"/>
      <w:r w:rsidRPr="00204055">
        <w:rPr>
          <w:rFonts w:ascii="Times New Roman" w:hAnsi="Times New Roman" w:cs="Times New Roman"/>
          <w:sz w:val="24"/>
          <w:szCs w:val="24"/>
        </w:rPr>
        <w:t xml:space="preserve">. </w:t>
      </w:r>
      <w:r w:rsidRPr="00204055">
        <w:rPr>
          <w:rFonts w:ascii="Times New Roman" w:hAnsi="Times New Roman" w:cs="Times New Roman"/>
          <w:i/>
          <w:sz w:val="24"/>
          <w:szCs w:val="24"/>
        </w:rPr>
        <w:t>Borrow</w:t>
      </w:r>
      <w:r w:rsidRPr="00085379">
        <w:rPr>
          <w:rFonts w:ascii="Times New Roman" w:hAnsi="Times New Roman" w:cs="Times New Roman"/>
          <w:i/>
          <w:sz w:val="24"/>
          <w:szCs w:val="24"/>
        </w:rPr>
        <w:t>ing a Constitution</w:t>
      </w:r>
      <w:proofErr w:type="gramStart"/>
      <w:r w:rsidRPr="00085379">
        <w:rPr>
          <w:rFonts w:ascii="Times New Roman" w:hAnsi="Times New Roman" w:cs="Times New Roman"/>
          <w:i/>
          <w:sz w:val="24"/>
          <w:szCs w:val="24"/>
        </w:rPr>
        <w:t>:</w:t>
      </w:r>
      <w:r w:rsidRPr="00085379">
        <w:rPr>
          <w:rFonts w:ascii="MS Mincho" w:eastAsia="MS Mincho" w:hAnsi="MS Mincho" w:cs="MS Mincho" w:hint="eastAsia"/>
          <w:i/>
          <w:sz w:val="24"/>
          <w:szCs w:val="24"/>
        </w:rPr>
        <w:t> </w:t>
      </w:r>
      <w:proofErr w:type="gramEnd"/>
      <w:r w:rsidRPr="00085379">
        <w:rPr>
          <w:rFonts w:ascii="Times New Roman" w:hAnsi="Times New Roman" w:cs="Times New Roman"/>
          <w:i/>
          <w:sz w:val="24"/>
          <w:szCs w:val="24"/>
        </w:rPr>
        <w:t>The U.S. Constitution in Argentina and the Heyday of the Argentine Supreme Court (1853-1930)</w:t>
      </w:r>
      <w:r>
        <w:rPr>
          <w:rFonts w:ascii="Times New Roman" w:hAnsi="Times New Roman" w:cs="Times New Roman"/>
          <w:sz w:val="24"/>
          <w:szCs w:val="24"/>
        </w:rPr>
        <w:t>,</w:t>
      </w:r>
      <w:r>
        <w:rPr>
          <w:rFonts w:ascii="Times New Roman" w:hAnsi="Times New Roman" w:cs="Times New Roman"/>
          <w:i/>
          <w:sz w:val="24"/>
          <w:szCs w:val="24"/>
        </w:rPr>
        <w:t xml:space="preserve"> </w:t>
      </w:r>
      <w:r w:rsidRPr="00085379">
        <w:rPr>
          <w:rFonts w:ascii="Times New Roman" w:hAnsi="Times New Roman" w:cs="Times New Roman"/>
          <w:sz w:val="24"/>
          <w:szCs w:val="24"/>
        </w:rPr>
        <w:t>manuscript on file with the authors.</w:t>
      </w:r>
    </w:p>
    <w:p w14:paraId="71E01D70" w14:textId="0AEE17C9" w:rsidR="009E3D17" w:rsidRPr="00204055" w:rsidRDefault="009E3D17" w:rsidP="00085379">
      <w:pPr>
        <w:spacing w:line="480" w:lineRule="auto"/>
        <w:rPr>
          <w:rFonts w:ascii="Times New Roman" w:hAnsi="Times New Roman" w:cs="Times New Roman"/>
          <w:iCs/>
          <w:sz w:val="24"/>
          <w:szCs w:val="24"/>
        </w:rPr>
      </w:pPr>
      <w:r w:rsidRPr="00204055">
        <w:rPr>
          <w:rFonts w:ascii="Times New Roman" w:hAnsi="Times New Roman" w:cs="Times New Roman"/>
          <w:sz w:val="24"/>
          <w:szCs w:val="24"/>
          <w:lang w:val="es-AR"/>
        </w:rPr>
        <w:t>Muro, Sergio, Alejandro Chehtman, Jorge Silva</w:t>
      </w:r>
      <w:r w:rsidR="00204055">
        <w:rPr>
          <w:rFonts w:ascii="Times New Roman" w:hAnsi="Times New Roman" w:cs="Times New Roman"/>
          <w:sz w:val="24"/>
          <w:szCs w:val="24"/>
          <w:lang w:val="es-AR"/>
        </w:rPr>
        <w:t xml:space="preserve"> and Nelson Amaya. </w:t>
      </w:r>
      <w:r w:rsidR="00204055" w:rsidRPr="00204055">
        <w:rPr>
          <w:rFonts w:ascii="Times New Roman" w:hAnsi="Times New Roman" w:cs="Times New Roman"/>
          <w:sz w:val="24"/>
          <w:szCs w:val="24"/>
        </w:rPr>
        <w:t>2016. Testing Representational Advantage in the Argentine Supreme Court</w:t>
      </w:r>
      <w:r w:rsidR="00204055">
        <w:rPr>
          <w:rFonts w:ascii="Times New Roman" w:hAnsi="Times New Roman" w:cs="Times New Roman"/>
          <w:sz w:val="24"/>
          <w:szCs w:val="24"/>
        </w:rPr>
        <w:t xml:space="preserve">. </w:t>
      </w:r>
      <w:proofErr w:type="gramStart"/>
      <w:r w:rsidR="00204055">
        <w:rPr>
          <w:rFonts w:ascii="Times New Roman" w:hAnsi="Times New Roman" w:cs="Times New Roman"/>
          <w:sz w:val="24"/>
          <w:szCs w:val="24"/>
        </w:rPr>
        <w:t>Unpublished manuscript, on file with the authors.</w:t>
      </w:r>
      <w:proofErr w:type="gramEnd"/>
    </w:p>
    <w:p w14:paraId="01C2A2D3" w14:textId="77777777" w:rsidR="00103F4C" w:rsidRPr="00CB06EE" w:rsidRDefault="00103F4C" w:rsidP="00085379">
      <w:pPr>
        <w:spacing w:line="480" w:lineRule="auto"/>
        <w:rPr>
          <w:rFonts w:ascii="Times New Roman" w:hAnsi="Times New Roman" w:cs="Times New Roman"/>
          <w:sz w:val="24"/>
          <w:szCs w:val="24"/>
        </w:rPr>
      </w:pPr>
      <w:r w:rsidRPr="00C32031">
        <w:rPr>
          <w:rFonts w:ascii="Times New Roman" w:hAnsi="Times New Roman" w:cs="Times New Roman"/>
          <w:iCs/>
          <w:sz w:val="24"/>
          <w:szCs w:val="24"/>
        </w:rPr>
        <w:lastRenderedPageBreak/>
        <w:t>Owens, Ryan</w:t>
      </w:r>
      <w:r w:rsidR="002255BC" w:rsidRPr="00C32031">
        <w:rPr>
          <w:rFonts w:ascii="Times New Roman" w:hAnsi="Times New Roman" w:cs="Times New Roman"/>
          <w:iCs/>
          <w:sz w:val="24"/>
          <w:szCs w:val="24"/>
        </w:rPr>
        <w:t>,</w:t>
      </w:r>
      <w:r w:rsidRPr="00C32031">
        <w:rPr>
          <w:rFonts w:ascii="Times New Roman" w:hAnsi="Times New Roman" w:cs="Times New Roman"/>
          <w:sz w:val="24"/>
          <w:szCs w:val="24"/>
        </w:rPr>
        <w:t xml:space="preserve"> and </w:t>
      </w:r>
      <w:r w:rsidR="002255BC" w:rsidRPr="00C32031">
        <w:rPr>
          <w:rFonts w:ascii="Times New Roman" w:hAnsi="Times New Roman" w:cs="Times New Roman"/>
          <w:sz w:val="24"/>
          <w:szCs w:val="24"/>
        </w:rPr>
        <w:t xml:space="preserve">David </w:t>
      </w:r>
      <w:r w:rsidRPr="00C32031">
        <w:rPr>
          <w:rFonts w:ascii="Times New Roman" w:hAnsi="Times New Roman" w:cs="Times New Roman"/>
          <w:iCs/>
          <w:sz w:val="24"/>
          <w:szCs w:val="24"/>
        </w:rPr>
        <w:t xml:space="preserve">Simon. 2012. </w:t>
      </w:r>
      <w:r w:rsidRPr="00C32031">
        <w:rPr>
          <w:rFonts w:ascii="Times New Roman" w:hAnsi="Times New Roman" w:cs="Times New Roman"/>
          <w:sz w:val="24"/>
          <w:szCs w:val="24"/>
        </w:rPr>
        <w:t xml:space="preserve">Explaining the Supreme Court’s Shrinking Docket, </w:t>
      </w:r>
      <w:r w:rsidRPr="00C32031">
        <w:rPr>
          <w:rFonts w:ascii="Times New Roman" w:hAnsi="Times New Roman" w:cs="Times New Roman"/>
          <w:i/>
          <w:sz w:val="24"/>
          <w:szCs w:val="24"/>
        </w:rPr>
        <w:t>William and Mary Law Review</w:t>
      </w:r>
      <w:r w:rsidRPr="00C32031">
        <w:rPr>
          <w:rFonts w:ascii="Times New Roman" w:hAnsi="Times New Roman" w:cs="Times New Roman"/>
          <w:sz w:val="24"/>
          <w:szCs w:val="24"/>
        </w:rPr>
        <w:t xml:space="preserve"> 53: 1219, 1223.</w:t>
      </w:r>
    </w:p>
    <w:p w14:paraId="22ED2982" w14:textId="77777777" w:rsidR="00833B4F" w:rsidRPr="00CB06EE" w:rsidRDefault="00833B4F" w:rsidP="00085379">
      <w:pPr>
        <w:spacing w:line="480" w:lineRule="auto"/>
        <w:rPr>
          <w:rFonts w:ascii="Times New Roman" w:hAnsi="Times New Roman" w:cs="Times New Roman"/>
          <w:sz w:val="24"/>
          <w:szCs w:val="24"/>
        </w:rPr>
      </w:pPr>
      <w:proofErr w:type="spellStart"/>
      <w:r w:rsidRPr="00CB06EE">
        <w:rPr>
          <w:rFonts w:ascii="Times New Roman" w:hAnsi="Times New Roman" w:cs="Times New Roman"/>
          <w:sz w:val="24"/>
          <w:szCs w:val="24"/>
        </w:rPr>
        <w:t>Ruibal</w:t>
      </w:r>
      <w:proofErr w:type="spellEnd"/>
      <w:r w:rsidRPr="00CB06EE">
        <w:rPr>
          <w:rFonts w:ascii="Times New Roman" w:hAnsi="Times New Roman" w:cs="Times New Roman"/>
          <w:sz w:val="24"/>
          <w:szCs w:val="24"/>
        </w:rPr>
        <w:t>, Alba. 2009. Self-Restraint in Search of Legitimacy: The Reform of the Argentine Supreme Court</w:t>
      </w:r>
      <w:proofErr w:type="gramStart"/>
      <w:r w:rsidRPr="00CB06EE">
        <w:rPr>
          <w:rFonts w:ascii="Times New Roman" w:hAnsi="Times New Roman" w:cs="Times New Roman"/>
          <w:sz w:val="24"/>
          <w:szCs w:val="24"/>
        </w:rPr>
        <w:t xml:space="preserve">,  </w:t>
      </w:r>
      <w:r w:rsidRPr="00CB06EE">
        <w:rPr>
          <w:rFonts w:ascii="Times New Roman" w:hAnsi="Times New Roman" w:cs="Times New Roman"/>
          <w:i/>
          <w:sz w:val="24"/>
          <w:szCs w:val="24"/>
        </w:rPr>
        <w:t>Latin</w:t>
      </w:r>
      <w:proofErr w:type="gramEnd"/>
      <w:r w:rsidRPr="00CB06EE">
        <w:rPr>
          <w:rFonts w:ascii="Times New Roman" w:hAnsi="Times New Roman" w:cs="Times New Roman"/>
          <w:i/>
          <w:sz w:val="24"/>
          <w:szCs w:val="24"/>
        </w:rPr>
        <w:t xml:space="preserve"> American Politics and Society</w:t>
      </w:r>
      <w:r w:rsidRPr="00CB06EE">
        <w:rPr>
          <w:rFonts w:ascii="Times New Roman" w:hAnsi="Times New Roman" w:cs="Times New Roman"/>
          <w:sz w:val="24"/>
          <w:szCs w:val="24"/>
        </w:rPr>
        <w:t xml:space="preserve"> 51(3): 59.</w:t>
      </w:r>
    </w:p>
    <w:p w14:paraId="7F5E242F" w14:textId="77777777" w:rsidR="00C32031" w:rsidRPr="00CB06EE" w:rsidRDefault="00C32031" w:rsidP="00085379">
      <w:pPr>
        <w:spacing w:line="480" w:lineRule="auto"/>
        <w:rPr>
          <w:rFonts w:ascii="Times New Roman" w:hAnsi="Times New Roman" w:cs="Times New Roman"/>
          <w:sz w:val="24"/>
          <w:szCs w:val="24"/>
          <w:lang w:val="es-AR"/>
        </w:rPr>
      </w:pPr>
      <w:r w:rsidRPr="00C32031">
        <w:rPr>
          <w:rFonts w:ascii="Times New Roman" w:hAnsi="Times New Roman" w:cs="Times New Roman"/>
          <w:sz w:val="24"/>
          <w:szCs w:val="24"/>
          <w:lang w:val="es-AR"/>
        </w:rPr>
        <w:t>Sacrist</w:t>
      </w:r>
      <w:r w:rsidRPr="00C32031">
        <w:rPr>
          <w:rFonts w:ascii="Times New Roman" w:hAnsi="Times New Roman" w:cs="Times New Roman"/>
          <w:i/>
          <w:sz w:val="24"/>
          <w:szCs w:val="24"/>
          <w:lang w:val="es-AR"/>
        </w:rPr>
        <w:t>á</w:t>
      </w:r>
      <w:r w:rsidRPr="00C32031">
        <w:rPr>
          <w:rFonts w:ascii="Times New Roman" w:hAnsi="Times New Roman" w:cs="Times New Roman"/>
          <w:sz w:val="24"/>
          <w:szCs w:val="24"/>
          <w:lang w:val="es-AR"/>
        </w:rPr>
        <w:t>n, Estela.</w:t>
      </w:r>
      <w:r w:rsidRPr="00CB06EE">
        <w:rPr>
          <w:rFonts w:ascii="Times New Roman" w:hAnsi="Times New Roman" w:cs="Times New Roman"/>
          <w:sz w:val="24"/>
          <w:szCs w:val="24"/>
          <w:lang w:val="es-AR"/>
        </w:rPr>
        <w:t xml:space="preserve"> 2009.</w:t>
      </w:r>
      <w:r w:rsidRPr="00C32031">
        <w:rPr>
          <w:rFonts w:ascii="Times New Roman" w:hAnsi="Times New Roman" w:cs="Times New Roman"/>
          <w:sz w:val="24"/>
          <w:szCs w:val="24"/>
          <w:lang w:val="es-AR"/>
        </w:rPr>
        <w:t xml:space="preserve"> El Rol Docente de la Corte Suprema, </w:t>
      </w:r>
      <w:r w:rsidRPr="00CB06EE">
        <w:rPr>
          <w:rFonts w:ascii="Times New Roman" w:hAnsi="Times New Roman" w:cs="Times New Roman"/>
          <w:i/>
          <w:sz w:val="24"/>
          <w:szCs w:val="24"/>
          <w:lang w:val="es-AR"/>
        </w:rPr>
        <w:t>La Ley</w:t>
      </w:r>
      <w:r>
        <w:rPr>
          <w:rFonts w:ascii="Times New Roman" w:hAnsi="Times New Roman" w:cs="Times New Roman"/>
          <w:i/>
          <w:sz w:val="24"/>
          <w:szCs w:val="24"/>
          <w:lang w:val="es-AR"/>
        </w:rPr>
        <w:t xml:space="preserve"> </w:t>
      </w:r>
      <w:r w:rsidRPr="00C32031">
        <w:rPr>
          <w:rFonts w:ascii="Times New Roman" w:hAnsi="Times New Roman" w:cs="Times New Roman"/>
          <w:sz w:val="24"/>
          <w:szCs w:val="24"/>
          <w:lang w:val="es-AR"/>
        </w:rPr>
        <w:t>F</w:t>
      </w:r>
      <w:r>
        <w:rPr>
          <w:rFonts w:ascii="Times New Roman" w:hAnsi="Times New Roman" w:cs="Times New Roman"/>
          <w:sz w:val="24"/>
          <w:szCs w:val="24"/>
          <w:lang w:val="es-AR"/>
        </w:rPr>
        <w:t>:</w:t>
      </w:r>
      <w:r w:rsidRPr="00C32031">
        <w:rPr>
          <w:rFonts w:ascii="Times New Roman" w:hAnsi="Times New Roman" w:cs="Times New Roman"/>
          <w:sz w:val="24"/>
          <w:szCs w:val="24"/>
          <w:lang w:val="es-AR"/>
        </w:rPr>
        <w:t xml:space="preserve"> 1102.</w:t>
      </w:r>
    </w:p>
    <w:p w14:paraId="599F2C9D" w14:textId="77777777" w:rsidR="00103F4C" w:rsidRDefault="00103F4C" w:rsidP="00085379">
      <w:pPr>
        <w:spacing w:line="480" w:lineRule="auto"/>
        <w:rPr>
          <w:rFonts w:ascii="Times New Roman" w:hAnsi="Times New Roman" w:cs="Times New Roman"/>
          <w:sz w:val="24"/>
          <w:szCs w:val="24"/>
        </w:rPr>
      </w:pPr>
      <w:r w:rsidRPr="00394A8C">
        <w:rPr>
          <w:rFonts w:ascii="Times New Roman" w:hAnsi="Times New Roman" w:cs="Times New Roman"/>
          <w:sz w:val="24"/>
          <w:szCs w:val="24"/>
        </w:rPr>
        <w:t xml:space="preserve">Sheehan, Reginald, </w:t>
      </w:r>
      <w:r w:rsidR="002255BC" w:rsidRPr="00394A8C">
        <w:rPr>
          <w:rFonts w:ascii="Times New Roman" w:hAnsi="Times New Roman" w:cs="Times New Roman"/>
          <w:sz w:val="24"/>
          <w:szCs w:val="24"/>
        </w:rPr>
        <w:t xml:space="preserve">William </w:t>
      </w:r>
      <w:proofErr w:type="spellStart"/>
      <w:r w:rsidRPr="00394A8C">
        <w:rPr>
          <w:rFonts w:ascii="Times New Roman" w:hAnsi="Times New Roman" w:cs="Times New Roman"/>
          <w:sz w:val="24"/>
          <w:szCs w:val="24"/>
        </w:rPr>
        <w:t>Mishler</w:t>
      </w:r>
      <w:proofErr w:type="spellEnd"/>
      <w:r w:rsidR="002255BC" w:rsidRPr="00394A8C">
        <w:rPr>
          <w:rFonts w:ascii="Times New Roman" w:hAnsi="Times New Roman" w:cs="Times New Roman"/>
          <w:sz w:val="24"/>
          <w:szCs w:val="24"/>
        </w:rPr>
        <w:t>,</w:t>
      </w:r>
      <w:r w:rsidRPr="00394A8C">
        <w:rPr>
          <w:rFonts w:ascii="Times New Roman" w:hAnsi="Times New Roman" w:cs="Times New Roman"/>
          <w:sz w:val="24"/>
          <w:szCs w:val="24"/>
        </w:rPr>
        <w:t xml:space="preserve"> </w:t>
      </w:r>
      <w:proofErr w:type="gramStart"/>
      <w:r w:rsidRPr="00394A8C">
        <w:rPr>
          <w:rFonts w:ascii="Times New Roman" w:hAnsi="Times New Roman" w:cs="Times New Roman"/>
          <w:sz w:val="24"/>
          <w:szCs w:val="24"/>
        </w:rPr>
        <w:t xml:space="preserve">and  </w:t>
      </w:r>
      <w:r w:rsidR="002255BC">
        <w:rPr>
          <w:rFonts w:ascii="Times New Roman" w:hAnsi="Times New Roman" w:cs="Times New Roman"/>
          <w:sz w:val="24"/>
          <w:szCs w:val="24"/>
        </w:rPr>
        <w:t>Donald</w:t>
      </w:r>
      <w:proofErr w:type="gramEnd"/>
      <w:r w:rsidR="002255BC">
        <w:rPr>
          <w:rFonts w:ascii="Times New Roman" w:hAnsi="Times New Roman" w:cs="Times New Roman"/>
          <w:sz w:val="24"/>
          <w:szCs w:val="24"/>
        </w:rPr>
        <w:t xml:space="preserve"> </w:t>
      </w:r>
      <w:proofErr w:type="spellStart"/>
      <w:r w:rsidRPr="00085379">
        <w:rPr>
          <w:rFonts w:ascii="Times New Roman" w:hAnsi="Times New Roman" w:cs="Times New Roman"/>
          <w:sz w:val="24"/>
          <w:szCs w:val="24"/>
        </w:rPr>
        <w:t>Songer</w:t>
      </w:r>
      <w:proofErr w:type="spellEnd"/>
      <w:r>
        <w:rPr>
          <w:rFonts w:ascii="Times New Roman" w:hAnsi="Times New Roman" w:cs="Times New Roman"/>
          <w:sz w:val="24"/>
          <w:szCs w:val="24"/>
        </w:rPr>
        <w:t>.</w:t>
      </w:r>
      <w:r w:rsidRPr="00085379">
        <w:rPr>
          <w:rFonts w:ascii="Times New Roman" w:hAnsi="Times New Roman" w:cs="Times New Roman"/>
          <w:sz w:val="24"/>
          <w:szCs w:val="24"/>
        </w:rPr>
        <w:t xml:space="preserve"> </w:t>
      </w:r>
      <w:r>
        <w:rPr>
          <w:rFonts w:ascii="Times New Roman" w:hAnsi="Times New Roman" w:cs="Times New Roman"/>
          <w:sz w:val="24"/>
          <w:szCs w:val="24"/>
        </w:rPr>
        <w:t xml:space="preserve">1992. </w:t>
      </w:r>
      <w:r w:rsidRPr="00085379">
        <w:rPr>
          <w:rFonts w:ascii="Times New Roman" w:hAnsi="Times New Roman" w:cs="Times New Roman"/>
          <w:sz w:val="24"/>
          <w:szCs w:val="24"/>
        </w:rPr>
        <w:t xml:space="preserve">Ideology, Status, and the Differential Success of Direct Parties Before the Supreme Court, </w:t>
      </w:r>
      <w:r w:rsidRPr="00833B4F">
        <w:rPr>
          <w:rFonts w:ascii="Times New Roman" w:hAnsi="Times New Roman" w:cs="Times New Roman"/>
          <w:i/>
          <w:sz w:val="24"/>
          <w:szCs w:val="24"/>
        </w:rPr>
        <w:t>American Political Science Review</w:t>
      </w:r>
      <w:r w:rsidRPr="00085379">
        <w:rPr>
          <w:rFonts w:ascii="Times New Roman" w:hAnsi="Times New Roman" w:cs="Times New Roman"/>
          <w:sz w:val="24"/>
          <w:szCs w:val="24"/>
        </w:rPr>
        <w:t xml:space="preserve"> 86</w:t>
      </w:r>
      <w:r>
        <w:rPr>
          <w:rFonts w:ascii="Times New Roman" w:hAnsi="Times New Roman" w:cs="Times New Roman"/>
          <w:sz w:val="24"/>
          <w:szCs w:val="24"/>
        </w:rPr>
        <w:t xml:space="preserve">: </w:t>
      </w:r>
      <w:r w:rsidRPr="00085379">
        <w:rPr>
          <w:rFonts w:ascii="Times New Roman" w:hAnsi="Times New Roman" w:cs="Times New Roman"/>
          <w:sz w:val="24"/>
          <w:szCs w:val="24"/>
        </w:rPr>
        <w:t>464</w:t>
      </w:r>
      <w:r>
        <w:rPr>
          <w:rFonts w:ascii="Times New Roman" w:hAnsi="Times New Roman" w:cs="Times New Roman"/>
          <w:sz w:val="24"/>
          <w:szCs w:val="24"/>
        </w:rPr>
        <w:t>.</w:t>
      </w:r>
    </w:p>
    <w:p w14:paraId="4A7F6185" w14:textId="77777777" w:rsidR="00B31D43" w:rsidRDefault="0046568D" w:rsidP="00085379">
      <w:pPr>
        <w:spacing w:line="480" w:lineRule="auto"/>
        <w:rPr>
          <w:rFonts w:ascii="Times New Roman" w:hAnsi="Times New Roman" w:cs="Times New Roman"/>
          <w:bCs/>
          <w:sz w:val="24"/>
          <w:szCs w:val="24"/>
        </w:rPr>
      </w:pPr>
      <w:proofErr w:type="spellStart"/>
      <w:proofErr w:type="gramStart"/>
      <w:r w:rsidRPr="00085379">
        <w:rPr>
          <w:rFonts w:ascii="Times New Roman" w:hAnsi="Times New Roman" w:cs="Times New Roman"/>
          <w:sz w:val="24"/>
          <w:szCs w:val="24"/>
        </w:rPr>
        <w:t>Songer</w:t>
      </w:r>
      <w:proofErr w:type="spellEnd"/>
      <w:r>
        <w:rPr>
          <w:rFonts w:ascii="Times New Roman" w:hAnsi="Times New Roman" w:cs="Times New Roman"/>
          <w:sz w:val="24"/>
          <w:szCs w:val="24"/>
        </w:rPr>
        <w:t>, Donald</w:t>
      </w:r>
      <w:r w:rsidR="002255BC">
        <w:rPr>
          <w:rFonts w:ascii="Times New Roman" w:hAnsi="Times New Roman" w:cs="Times New Roman"/>
          <w:sz w:val="24"/>
          <w:szCs w:val="24"/>
        </w:rPr>
        <w:t>,</w:t>
      </w:r>
      <w:r w:rsidRPr="00085379">
        <w:rPr>
          <w:rFonts w:ascii="Times New Roman" w:hAnsi="Times New Roman" w:cs="Times New Roman"/>
          <w:sz w:val="24"/>
          <w:szCs w:val="24"/>
        </w:rPr>
        <w:t xml:space="preserve"> </w:t>
      </w:r>
      <w:r>
        <w:rPr>
          <w:rFonts w:ascii="Times New Roman" w:hAnsi="Times New Roman" w:cs="Times New Roman"/>
          <w:sz w:val="24"/>
          <w:szCs w:val="24"/>
        </w:rPr>
        <w:t>and</w:t>
      </w:r>
      <w:r w:rsidRPr="00085379">
        <w:rPr>
          <w:rFonts w:ascii="Times New Roman" w:hAnsi="Times New Roman" w:cs="Times New Roman"/>
          <w:sz w:val="24"/>
          <w:szCs w:val="24"/>
        </w:rPr>
        <w:t xml:space="preserve"> </w:t>
      </w:r>
      <w:r w:rsidR="002255BC">
        <w:rPr>
          <w:rFonts w:ascii="Times New Roman" w:hAnsi="Times New Roman" w:cs="Times New Roman"/>
          <w:sz w:val="24"/>
          <w:szCs w:val="24"/>
        </w:rPr>
        <w:t xml:space="preserve">Reginald </w:t>
      </w:r>
      <w:r w:rsidRPr="00085379">
        <w:rPr>
          <w:rFonts w:ascii="Times New Roman" w:hAnsi="Times New Roman" w:cs="Times New Roman"/>
          <w:sz w:val="24"/>
          <w:szCs w:val="24"/>
        </w:rPr>
        <w:t>Sheehan</w:t>
      </w:r>
      <w:r>
        <w:rPr>
          <w:rFonts w:ascii="Times New Roman" w:hAnsi="Times New Roman" w:cs="Times New Roman"/>
          <w:sz w:val="24"/>
          <w:szCs w:val="24"/>
        </w:rPr>
        <w:t>.</w:t>
      </w:r>
      <w:proofErr w:type="gramEnd"/>
      <w:r>
        <w:rPr>
          <w:rFonts w:ascii="Times New Roman" w:hAnsi="Times New Roman" w:cs="Times New Roman"/>
          <w:sz w:val="24"/>
          <w:szCs w:val="24"/>
        </w:rPr>
        <w:t xml:space="preserve"> 1992.</w:t>
      </w:r>
      <w:r w:rsidRPr="00085379">
        <w:rPr>
          <w:rFonts w:ascii="Times New Roman" w:hAnsi="Times New Roman" w:cs="Times New Roman"/>
          <w:sz w:val="24"/>
          <w:szCs w:val="24"/>
        </w:rPr>
        <w:t xml:space="preserve"> Who wins on Appeal? </w:t>
      </w:r>
      <w:proofErr w:type="spellStart"/>
      <w:r w:rsidRPr="00085379">
        <w:rPr>
          <w:rFonts w:ascii="Times New Roman" w:hAnsi="Times New Roman" w:cs="Times New Roman"/>
          <w:sz w:val="24"/>
          <w:szCs w:val="24"/>
        </w:rPr>
        <w:t>Upperdogs</w:t>
      </w:r>
      <w:proofErr w:type="spellEnd"/>
      <w:r w:rsidRPr="00085379">
        <w:rPr>
          <w:rFonts w:ascii="Times New Roman" w:hAnsi="Times New Roman" w:cs="Times New Roman"/>
          <w:sz w:val="24"/>
          <w:szCs w:val="24"/>
        </w:rPr>
        <w:t xml:space="preserve"> and Underdogs in the United Stated Courts of Appeals, </w:t>
      </w:r>
      <w:r w:rsidRPr="000E59A0">
        <w:rPr>
          <w:rFonts w:ascii="Times New Roman" w:hAnsi="Times New Roman" w:cs="Times New Roman"/>
          <w:bCs/>
          <w:i/>
          <w:sz w:val="24"/>
          <w:szCs w:val="24"/>
        </w:rPr>
        <w:t>American J. of Political Science</w:t>
      </w:r>
      <w:r w:rsidRPr="00085379">
        <w:rPr>
          <w:rFonts w:ascii="Times New Roman" w:hAnsi="Times New Roman" w:cs="Times New Roman"/>
          <w:bCs/>
          <w:sz w:val="24"/>
          <w:szCs w:val="24"/>
        </w:rPr>
        <w:t xml:space="preserve"> </w:t>
      </w:r>
      <w:r w:rsidR="000E59A0">
        <w:rPr>
          <w:rFonts w:ascii="Times New Roman" w:hAnsi="Times New Roman" w:cs="Times New Roman"/>
          <w:bCs/>
          <w:sz w:val="24"/>
          <w:szCs w:val="24"/>
        </w:rPr>
        <w:t xml:space="preserve">36: </w:t>
      </w:r>
      <w:r w:rsidRPr="00085379">
        <w:rPr>
          <w:rFonts w:ascii="Times New Roman" w:hAnsi="Times New Roman" w:cs="Times New Roman"/>
          <w:bCs/>
          <w:sz w:val="24"/>
          <w:szCs w:val="24"/>
        </w:rPr>
        <w:t>235</w:t>
      </w:r>
      <w:r w:rsidR="000E59A0">
        <w:rPr>
          <w:rFonts w:ascii="Times New Roman" w:hAnsi="Times New Roman" w:cs="Times New Roman"/>
          <w:bCs/>
          <w:sz w:val="24"/>
          <w:szCs w:val="24"/>
        </w:rPr>
        <w:t>.</w:t>
      </w:r>
    </w:p>
    <w:p w14:paraId="13CD0708" w14:textId="77777777" w:rsidR="00B31D43" w:rsidRPr="00CB06EE" w:rsidRDefault="00B31D43" w:rsidP="00085379">
      <w:pPr>
        <w:spacing w:line="480" w:lineRule="auto"/>
        <w:rPr>
          <w:rFonts w:ascii="Times New Roman" w:hAnsi="Times New Roman" w:cs="Times New Roman"/>
          <w:bCs/>
          <w:sz w:val="24"/>
          <w:szCs w:val="24"/>
          <w:lang w:val="es-AR"/>
        </w:rPr>
      </w:pPr>
      <w:r w:rsidRPr="00CB06EE">
        <w:rPr>
          <w:rFonts w:ascii="Times New Roman" w:hAnsi="Times New Roman" w:cs="Times New Roman"/>
          <w:bCs/>
          <w:sz w:val="24"/>
          <w:szCs w:val="24"/>
          <w:shd w:val="clear" w:color="auto" w:fill="FFFFFF"/>
          <w:lang w:val="es-AR"/>
        </w:rPr>
        <w:t>Thury-Cornejo</w:t>
      </w:r>
      <w:r w:rsidRPr="00B31D43">
        <w:rPr>
          <w:rFonts w:ascii="Times New Roman" w:hAnsi="Times New Roman" w:cs="Times New Roman"/>
          <w:bCs/>
          <w:sz w:val="24"/>
          <w:szCs w:val="24"/>
          <w:shd w:val="clear" w:color="auto" w:fill="FFFFFF"/>
          <w:lang w:val="es-AR"/>
        </w:rPr>
        <w:t>, Valentin.</w:t>
      </w:r>
      <w:r w:rsidRPr="00CB06EE">
        <w:rPr>
          <w:rFonts w:ascii="Times New Roman" w:hAnsi="Times New Roman" w:cs="Times New Roman"/>
          <w:bCs/>
          <w:sz w:val="24"/>
          <w:szCs w:val="24"/>
          <w:shd w:val="clear" w:color="auto" w:fill="FFFFFF"/>
          <w:lang w:val="es-AR"/>
        </w:rPr>
        <w:t xml:space="preserve"> 2011. La Independencia Judicial en el  Contexto de la Sociedad de Medios: Desafios y Estrategias</w:t>
      </w:r>
      <w:r w:rsidRPr="00B31D43">
        <w:rPr>
          <w:rFonts w:ascii="Times New Roman" w:hAnsi="Times New Roman" w:cs="Times New Roman"/>
          <w:bCs/>
          <w:sz w:val="24"/>
          <w:szCs w:val="24"/>
          <w:shd w:val="clear" w:color="auto" w:fill="FFFFFF"/>
          <w:lang w:val="es-AR"/>
        </w:rPr>
        <w:t>,</w:t>
      </w:r>
      <w:r>
        <w:rPr>
          <w:rFonts w:ascii="Times New Roman" w:hAnsi="Times New Roman" w:cs="Times New Roman"/>
          <w:bCs/>
          <w:sz w:val="24"/>
          <w:szCs w:val="24"/>
          <w:shd w:val="clear" w:color="auto" w:fill="FFFFFF"/>
          <w:lang w:val="es-AR"/>
        </w:rPr>
        <w:t xml:space="preserve"> </w:t>
      </w:r>
      <w:r w:rsidRPr="00CB06EE">
        <w:rPr>
          <w:rFonts w:ascii="Times New Roman" w:hAnsi="Times New Roman" w:cs="Times New Roman"/>
          <w:i/>
          <w:sz w:val="24"/>
          <w:szCs w:val="24"/>
          <w:lang w:val="es-AR"/>
        </w:rPr>
        <w:t>Díkaion</w:t>
      </w:r>
      <w:r w:rsidRPr="00CB06EE">
        <w:rPr>
          <w:rFonts w:ascii="Times New Roman" w:hAnsi="Times New Roman" w:cs="Times New Roman"/>
          <w:sz w:val="24"/>
          <w:szCs w:val="24"/>
          <w:lang w:val="es-AR"/>
        </w:rPr>
        <w:t> </w:t>
      </w:r>
      <w:r w:rsidR="00CB06EE" w:rsidRPr="00CB06EE">
        <w:rPr>
          <w:rFonts w:ascii="Times New Roman" w:hAnsi="Times New Roman" w:cs="Times New Roman"/>
          <w:sz w:val="24"/>
          <w:szCs w:val="24"/>
          <w:lang w:val="es-AR"/>
        </w:rPr>
        <w:t xml:space="preserve"> </w:t>
      </w:r>
      <w:r w:rsidRPr="00CB06EE">
        <w:rPr>
          <w:rFonts w:ascii="Times New Roman" w:hAnsi="Times New Roman" w:cs="Times New Roman"/>
          <w:sz w:val="24"/>
          <w:szCs w:val="24"/>
          <w:lang w:val="es-AR"/>
        </w:rPr>
        <w:t>20</w:t>
      </w:r>
      <w:r w:rsidR="00CB06EE">
        <w:rPr>
          <w:rFonts w:ascii="Times New Roman" w:hAnsi="Times New Roman" w:cs="Times New Roman"/>
          <w:sz w:val="24"/>
          <w:szCs w:val="24"/>
          <w:lang w:val="es-AR"/>
        </w:rPr>
        <w:t>(</w:t>
      </w:r>
      <w:r w:rsidRPr="00CB06EE">
        <w:rPr>
          <w:rFonts w:ascii="Times New Roman" w:hAnsi="Times New Roman" w:cs="Times New Roman"/>
          <w:sz w:val="24"/>
          <w:szCs w:val="24"/>
          <w:lang w:val="es-AR"/>
        </w:rPr>
        <w:t>2</w:t>
      </w:r>
      <w:r w:rsidR="00CB06EE">
        <w:rPr>
          <w:rFonts w:ascii="Times New Roman" w:hAnsi="Times New Roman" w:cs="Times New Roman"/>
          <w:sz w:val="24"/>
          <w:szCs w:val="24"/>
          <w:lang w:val="es-AR"/>
        </w:rPr>
        <w:t>)</w:t>
      </w:r>
      <w:r w:rsidRPr="00CB06EE">
        <w:rPr>
          <w:rFonts w:ascii="Times New Roman" w:hAnsi="Times New Roman" w:cs="Times New Roman"/>
          <w:sz w:val="24"/>
          <w:szCs w:val="24"/>
          <w:lang w:val="es-AR"/>
        </w:rPr>
        <w:t>.</w:t>
      </w:r>
    </w:p>
    <w:p w14:paraId="3B937DF8" w14:textId="77777777" w:rsidR="0083539A" w:rsidRDefault="00B31D43" w:rsidP="00085379">
      <w:pPr>
        <w:spacing w:line="480" w:lineRule="auto"/>
        <w:rPr>
          <w:rFonts w:ascii="Times New Roman" w:hAnsi="Times New Roman" w:cs="Times New Roman"/>
          <w:bCs/>
          <w:sz w:val="24"/>
          <w:szCs w:val="24"/>
        </w:rPr>
      </w:pPr>
      <w:proofErr w:type="gramStart"/>
      <w:r w:rsidRPr="00085379">
        <w:rPr>
          <w:rFonts w:ascii="Times New Roman" w:hAnsi="Times New Roman" w:cs="Times New Roman"/>
          <w:bCs/>
          <w:sz w:val="24"/>
          <w:szCs w:val="24"/>
        </w:rPr>
        <w:t>Wheeler,</w:t>
      </w:r>
      <w:r w:rsidRPr="00B31D43">
        <w:rPr>
          <w:rFonts w:ascii="Times New Roman" w:hAnsi="Times New Roman" w:cs="Times New Roman"/>
          <w:bCs/>
          <w:sz w:val="24"/>
          <w:szCs w:val="24"/>
        </w:rPr>
        <w:t xml:space="preserve"> </w:t>
      </w:r>
      <w:r w:rsidRPr="00085379">
        <w:rPr>
          <w:rFonts w:ascii="Times New Roman" w:hAnsi="Times New Roman" w:cs="Times New Roman"/>
          <w:bCs/>
          <w:sz w:val="24"/>
          <w:szCs w:val="24"/>
        </w:rPr>
        <w:t>Stanton</w:t>
      </w:r>
      <w:r>
        <w:rPr>
          <w:rFonts w:ascii="Times New Roman" w:hAnsi="Times New Roman" w:cs="Times New Roman"/>
          <w:bCs/>
          <w:sz w:val="24"/>
          <w:szCs w:val="24"/>
        </w:rPr>
        <w:t>, Bliss Cartwright, Robert</w:t>
      </w:r>
      <w:r w:rsidRPr="00085379">
        <w:rPr>
          <w:rFonts w:ascii="Times New Roman" w:hAnsi="Times New Roman" w:cs="Times New Roman"/>
          <w:bCs/>
          <w:sz w:val="24"/>
          <w:szCs w:val="24"/>
        </w:rPr>
        <w:t xml:space="preserve"> Kagan, and Lawrence Friedman.</w:t>
      </w:r>
      <w:proofErr w:type="gramEnd"/>
      <w:r w:rsidRPr="00085379">
        <w:rPr>
          <w:rFonts w:ascii="Times New Roman" w:hAnsi="Times New Roman" w:cs="Times New Roman"/>
          <w:bCs/>
          <w:sz w:val="24"/>
          <w:szCs w:val="24"/>
        </w:rPr>
        <w:t xml:space="preserve"> 1987. "Do the 'Haves' Come Out Ahead? Winning and Losing in State Supreme Courts, 1870-1970." Law and Society Review 21:403-45</w:t>
      </w:r>
      <w:r>
        <w:rPr>
          <w:rFonts w:ascii="Times New Roman" w:hAnsi="Times New Roman" w:cs="Times New Roman"/>
          <w:bCs/>
          <w:sz w:val="24"/>
          <w:szCs w:val="24"/>
        </w:rPr>
        <w:t>.</w:t>
      </w:r>
    </w:p>
    <w:p w14:paraId="2454788C" w14:textId="77777777" w:rsidR="0083539A" w:rsidRPr="0083539A" w:rsidRDefault="0083539A" w:rsidP="00085379">
      <w:pPr>
        <w:spacing w:line="480" w:lineRule="auto"/>
        <w:rPr>
          <w:rFonts w:ascii="Times New Roman" w:hAnsi="Times New Roman" w:cs="Times New Roman"/>
          <w:bCs/>
          <w:sz w:val="24"/>
          <w:szCs w:val="24"/>
        </w:rPr>
      </w:pPr>
    </w:p>
    <w:p w14:paraId="57A16A73" w14:textId="77777777" w:rsidR="0083539A" w:rsidRPr="00394A8C" w:rsidRDefault="0083539A" w:rsidP="00085379">
      <w:pPr>
        <w:spacing w:line="480" w:lineRule="auto"/>
        <w:rPr>
          <w:rFonts w:ascii="Times New Roman" w:hAnsi="Times New Roman" w:cs="Times New Roman"/>
          <w:b/>
          <w:sz w:val="24"/>
          <w:szCs w:val="24"/>
        </w:rPr>
      </w:pPr>
      <w:r w:rsidRPr="00394A8C">
        <w:rPr>
          <w:rFonts w:ascii="Times New Roman" w:hAnsi="Times New Roman" w:cs="Times New Roman"/>
          <w:b/>
          <w:sz w:val="24"/>
          <w:szCs w:val="24"/>
        </w:rPr>
        <w:t>CASES CITED</w:t>
      </w:r>
    </w:p>
    <w:p w14:paraId="667DA494" w14:textId="77777777" w:rsidR="00A768EC" w:rsidRPr="00394A8C" w:rsidRDefault="00A768EC" w:rsidP="00085379">
      <w:pPr>
        <w:spacing w:line="480" w:lineRule="auto"/>
        <w:rPr>
          <w:rFonts w:ascii="Times New Roman" w:hAnsi="Times New Roman" w:cs="Times New Roman"/>
          <w:i/>
          <w:color w:val="000000"/>
          <w:sz w:val="24"/>
          <w:szCs w:val="24"/>
        </w:rPr>
      </w:pPr>
      <w:r w:rsidRPr="00394A8C">
        <w:rPr>
          <w:rFonts w:ascii="Times New Roman" w:hAnsi="Times New Roman" w:cs="Times New Roman"/>
          <w:i/>
          <w:sz w:val="24"/>
          <w:szCs w:val="24"/>
        </w:rPr>
        <w:lastRenderedPageBreak/>
        <w:t xml:space="preserve">Gordillo, Raul Hilario s/ </w:t>
      </w:r>
      <w:proofErr w:type="spellStart"/>
      <w:r w:rsidRPr="00394A8C">
        <w:rPr>
          <w:rFonts w:ascii="Times New Roman" w:hAnsi="Times New Roman" w:cs="Times New Roman"/>
          <w:i/>
          <w:sz w:val="24"/>
          <w:szCs w:val="24"/>
        </w:rPr>
        <w:t>corrupción</w:t>
      </w:r>
      <w:proofErr w:type="spellEnd"/>
      <w:r w:rsidRPr="00394A8C">
        <w:rPr>
          <w:rFonts w:ascii="Times New Roman" w:hAnsi="Times New Roman" w:cs="Times New Roman"/>
          <w:i/>
          <w:sz w:val="24"/>
          <w:szCs w:val="24"/>
        </w:rPr>
        <w:t xml:space="preserve"> </w:t>
      </w:r>
      <w:proofErr w:type="spellStart"/>
      <w:r w:rsidRPr="00394A8C">
        <w:rPr>
          <w:rFonts w:ascii="Times New Roman" w:hAnsi="Times New Roman" w:cs="Times New Roman"/>
          <w:i/>
          <w:sz w:val="24"/>
          <w:szCs w:val="24"/>
        </w:rPr>
        <w:t>calificada</w:t>
      </w:r>
      <w:proofErr w:type="spellEnd"/>
      <w:r w:rsidRPr="00394A8C">
        <w:rPr>
          <w:rFonts w:ascii="Times New Roman" w:hAnsi="Times New Roman" w:cs="Times New Roman"/>
          <w:i/>
          <w:sz w:val="24"/>
          <w:szCs w:val="24"/>
        </w:rPr>
        <w:t>, etc.</w:t>
      </w:r>
      <w:r w:rsidRPr="00394A8C">
        <w:rPr>
          <w:rFonts w:ascii="Times New Roman" w:hAnsi="Times New Roman" w:cs="Times New Roman"/>
          <w:sz w:val="24"/>
          <w:szCs w:val="24"/>
        </w:rPr>
        <w:t xml:space="preserve">, </w:t>
      </w:r>
      <w:proofErr w:type="spellStart"/>
      <w:r w:rsidRPr="00394A8C">
        <w:rPr>
          <w:rFonts w:ascii="Times New Roman" w:hAnsi="Times New Roman" w:cs="Times New Roman"/>
          <w:sz w:val="24"/>
          <w:szCs w:val="24"/>
        </w:rPr>
        <w:t>Fallos</w:t>
      </w:r>
      <w:proofErr w:type="spellEnd"/>
      <w:r w:rsidRPr="00394A8C">
        <w:rPr>
          <w:rFonts w:ascii="Times New Roman" w:hAnsi="Times New Roman" w:cs="Times New Roman"/>
          <w:sz w:val="24"/>
          <w:szCs w:val="24"/>
        </w:rPr>
        <w:t xml:space="preserve"> 310:1934 (1987)</w:t>
      </w:r>
    </w:p>
    <w:p w14:paraId="7D1FA3B2" w14:textId="77777777" w:rsidR="00A768EC" w:rsidRDefault="00A768EC" w:rsidP="00085379">
      <w:pPr>
        <w:spacing w:line="480" w:lineRule="auto"/>
        <w:rPr>
          <w:rFonts w:ascii="Times New Roman" w:eastAsia="Times New Roman" w:hAnsi="Times New Roman" w:cs="Times New Roman"/>
          <w:i/>
          <w:sz w:val="24"/>
          <w:szCs w:val="24"/>
          <w:lang w:val="es-AR"/>
        </w:rPr>
      </w:pPr>
      <w:r w:rsidRPr="00A768EC">
        <w:rPr>
          <w:rFonts w:ascii="Times New Roman" w:hAnsi="Times New Roman" w:cs="Times New Roman"/>
          <w:i/>
          <w:noProof/>
          <w:sz w:val="24"/>
          <w:szCs w:val="24"/>
          <w:lang w:val="es-AR"/>
        </w:rPr>
        <w:t>Massa, Juan Augustín v. Poder Ejecutivo National – Decreto No. 1.570/01 / amparo</w:t>
      </w:r>
      <w:r>
        <w:rPr>
          <w:rFonts w:ascii="Times New Roman" w:hAnsi="Times New Roman" w:cs="Times New Roman"/>
          <w:i/>
          <w:noProof/>
          <w:sz w:val="24"/>
          <w:szCs w:val="24"/>
          <w:lang w:val="es-AR"/>
        </w:rPr>
        <w:t>,</w:t>
      </w:r>
      <w:r w:rsidRPr="00085379">
        <w:rPr>
          <w:rFonts w:ascii="Times New Roman" w:hAnsi="Times New Roman" w:cs="Times New Roman"/>
          <w:noProof/>
          <w:sz w:val="24"/>
          <w:szCs w:val="24"/>
          <w:lang w:val="es-AR"/>
        </w:rPr>
        <w:t xml:space="preserve"> J.A. (2007-I-187).</w:t>
      </w:r>
    </w:p>
    <w:p w14:paraId="41D7CD03" w14:textId="77777777" w:rsidR="00A768EC" w:rsidRDefault="00A768EC" w:rsidP="00085379">
      <w:pPr>
        <w:spacing w:line="480" w:lineRule="auto"/>
        <w:rPr>
          <w:rFonts w:ascii="Times New Roman" w:hAnsi="Times New Roman" w:cs="Times New Roman"/>
          <w:i/>
          <w:color w:val="000000"/>
          <w:sz w:val="24"/>
          <w:szCs w:val="24"/>
          <w:lang w:val="es-AR"/>
        </w:rPr>
      </w:pPr>
      <w:r w:rsidRPr="00A768EC">
        <w:rPr>
          <w:rFonts w:ascii="Times New Roman" w:eastAsia="Times New Roman" w:hAnsi="Times New Roman" w:cs="Times New Roman"/>
          <w:i/>
          <w:sz w:val="24"/>
          <w:szCs w:val="24"/>
          <w:lang w:val="es-AR"/>
        </w:rPr>
        <w:t xml:space="preserve">Quinteros, Virginis s/presentación, </w:t>
      </w:r>
      <w:r w:rsidRPr="00A768EC">
        <w:rPr>
          <w:rFonts w:ascii="Times New Roman" w:eastAsia="Times New Roman" w:hAnsi="Times New Roman" w:cs="Times New Roman"/>
          <w:sz w:val="24"/>
          <w:szCs w:val="24"/>
          <w:lang w:val="es-AR"/>
        </w:rPr>
        <w:t>Q. 43. XLV RHE (2009).</w:t>
      </w:r>
    </w:p>
    <w:p w14:paraId="0EE0D4EB" w14:textId="77777777" w:rsidR="0046568D" w:rsidRDefault="0083539A" w:rsidP="00085379">
      <w:pPr>
        <w:spacing w:line="480" w:lineRule="auto"/>
        <w:rPr>
          <w:rFonts w:ascii="Times New Roman" w:hAnsi="Times New Roman" w:cs="Times New Roman"/>
          <w:sz w:val="24"/>
          <w:szCs w:val="24"/>
          <w:lang w:val="es-AR"/>
        </w:rPr>
      </w:pPr>
      <w:r w:rsidRPr="00A768EC">
        <w:rPr>
          <w:rFonts w:ascii="Times New Roman" w:hAnsi="Times New Roman" w:cs="Times New Roman"/>
          <w:i/>
          <w:color w:val="000000"/>
          <w:sz w:val="24"/>
          <w:szCs w:val="24"/>
          <w:lang w:val="es-AR"/>
        </w:rPr>
        <w:t>Sojo, Eduardo c/ Cámara de Diputados de la Nación</w:t>
      </w:r>
      <w:r w:rsidRPr="0083539A">
        <w:rPr>
          <w:rFonts w:ascii="Times New Roman" w:hAnsi="Times New Roman" w:cs="Times New Roman"/>
          <w:b/>
          <w:sz w:val="24"/>
          <w:szCs w:val="24"/>
          <w:lang w:val="es-AR"/>
        </w:rPr>
        <w:t xml:space="preserve">, </w:t>
      </w:r>
      <w:r w:rsidRPr="00A768EC">
        <w:rPr>
          <w:rFonts w:ascii="Times New Roman" w:hAnsi="Times New Roman" w:cs="Times New Roman"/>
          <w:sz w:val="24"/>
          <w:szCs w:val="24"/>
          <w:lang w:val="es-AR"/>
        </w:rPr>
        <w:t>32 Fallos</w:t>
      </w:r>
      <w:r w:rsidR="0046568D" w:rsidRPr="00A768EC">
        <w:rPr>
          <w:rFonts w:ascii="Times New Roman" w:hAnsi="Times New Roman" w:cs="Times New Roman"/>
          <w:i/>
          <w:sz w:val="24"/>
          <w:szCs w:val="24"/>
          <w:lang w:val="es-AR"/>
        </w:rPr>
        <w:t xml:space="preserve"> </w:t>
      </w:r>
      <w:r w:rsidRPr="00A768EC">
        <w:rPr>
          <w:rFonts w:ascii="Times New Roman" w:hAnsi="Times New Roman" w:cs="Times New Roman"/>
          <w:sz w:val="24"/>
          <w:szCs w:val="24"/>
          <w:lang w:val="es-AR"/>
        </w:rPr>
        <w:t>120</w:t>
      </w:r>
      <w:r>
        <w:rPr>
          <w:rFonts w:ascii="Times New Roman" w:hAnsi="Times New Roman" w:cs="Times New Roman"/>
          <w:sz w:val="24"/>
          <w:szCs w:val="24"/>
          <w:lang w:val="es-AR"/>
        </w:rPr>
        <w:t xml:space="preserve"> (1887)</w:t>
      </w:r>
    </w:p>
    <w:p w14:paraId="6254F344" w14:textId="77777777" w:rsidR="007040B0" w:rsidRPr="00394A8C" w:rsidRDefault="007040B0" w:rsidP="00085379">
      <w:pPr>
        <w:spacing w:line="480" w:lineRule="auto"/>
        <w:rPr>
          <w:rFonts w:ascii="Times New Roman" w:hAnsi="Times New Roman" w:cs="Times New Roman"/>
          <w:b/>
          <w:sz w:val="24"/>
          <w:szCs w:val="24"/>
          <w:lang w:val="es-AR"/>
        </w:rPr>
      </w:pPr>
      <w:r w:rsidRPr="00394A8C">
        <w:rPr>
          <w:rFonts w:ascii="Times New Roman" w:hAnsi="Times New Roman" w:cs="Times New Roman"/>
          <w:b/>
          <w:sz w:val="24"/>
          <w:szCs w:val="24"/>
          <w:lang w:val="es-AR"/>
        </w:rPr>
        <w:t>STATUTES CITED</w:t>
      </w:r>
    </w:p>
    <w:p w14:paraId="700564DF" w14:textId="77777777" w:rsidR="00922A02" w:rsidRDefault="00922A02" w:rsidP="00922A02">
      <w:pPr>
        <w:spacing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Acordada 35/2003, CSJN (Argentina)</w:t>
      </w:r>
    </w:p>
    <w:p w14:paraId="19FBB1CE" w14:textId="77777777" w:rsidR="00922A02" w:rsidRDefault="00922A02" w:rsidP="00922A02">
      <w:pPr>
        <w:spacing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Acordada 37/2003, CSJN (Argentina)</w:t>
      </w:r>
    </w:p>
    <w:p w14:paraId="67E0E9CD" w14:textId="77777777" w:rsidR="00922A02" w:rsidRDefault="00922A02" w:rsidP="00922A02">
      <w:pPr>
        <w:spacing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Acordada 7/2004, CSJN (Argentina)</w:t>
      </w:r>
    </w:p>
    <w:p w14:paraId="3A763FA1" w14:textId="77777777" w:rsidR="00922A02" w:rsidRDefault="00922A02" w:rsidP="00922A02">
      <w:pPr>
        <w:spacing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Acordada 4/2007, CSJN (Argentina)</w:t>
      </w:r>
    </w:p>
    <w:p w14:paraId="6573DB61" w14:textId="77777777" w:rsidR="007040B0" w:rsidRDefault="007040B0" w:rsidP="00922A02">
      <w:pPr>
        <w:spacing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Acordada</w:t>
      </w:r>
      <w:r w:rsidR="00922A02">
        <w:rPr>
          <w:rFonts w:ascii="Times New Roman" w:hAnsi="Times New Roman" w:cs="Times New Roman"/>
          <w:sz w:val="24"/>
          <w:szCs w:val="24"/>
          <w:lang w:val="es-AR"/>
        </w:rPr>
        <w:t xml:space="preserve"> </w:t>
      </w:r>
      <w:r>
        <w:rPr>
          <w:rFonts w:ascii="Times New Roman" w:hAnsi="Times New Roman" w:cs="Times New Roman"/>
          <w:sz w:val="24"/>
          <w:szCs w:val="24"/>
          <w:lang w:val="es-AR"/>
        </w:rPr>
        <w:t>38/2011, CSJN (Argentina)</w:t>
      </w:r>
    </w:p>
    <w:p w14:paraId="28B3F48D" w14:textId="77777777" w:rsidR="00922A02" w:rsidRDefault="00922A02" w:rsidP="00922A02">
      <w:pPr>
        <w:spacing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Acordada 1/2012, CSJN (Argentina)</w:t>
      </w:r>
    </w:p>
    <w:p w14:paraId="1AB996AC" w14:textId="77777777" w:rsidR="00922A02" w:rsidRDefault="00922A02" w:rsidP="00922A02">
      <w:pPr>
        <w:spacing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Acordada 2/2012, CSJN (Argentina)</w:t>
      </w:r>
    </w:p>
    <w:p w14:paraId="5CD608F8" w14:textId="77777777" w:rsidR="007040B0" w:rsidRPr="00922A02" w:rsidRDefault="007040B0" w:rsidP="00922A02">
      <w:pPr>
        <w:spacing w:line="480" w:lineRule="auto"/>
        <w:jc w:val="both"/>
        <w:rPr>
          <w:rFonts w:ascii="Times New Roman" w:hAnsi="Times New Roman" w:cs="Times New Roman"/>
          <w:sz w:val="24"/>
          <w:szCs w:val="24"/>
          <w:lang w:val="es-AR"/>
        </w:rPr>
      </w:pPr>
      <w:r w:rsidRPr="00085379">
        <w:rPr>
          <w:rFonts w:ascii="Times New Roman" w:hAnsi="Times New Roman" w:cs="Times New Roman"/>
          <w:sz w:val="24"/>
          <w:szCs w:val="24"/>
          <w:lang w:val="es-AR"/>
        </w:rPr>
        <w:t>Código de Procedimiento Civil y Comercial de la Nación, Ley 23.774 (1990)</w:t>
      </w:r>
      <w:r>
        <w:rPr>
          <w:rFonts w:ascii="Times New Roman" w:hAnsi="Times New Roman" w:cs="Times New Roman"/>
          <w:sz w:val="24"/>
          <w:szCs w:val="24"/>
          <w:lang w:val="es-AR"/>
        </w:rPr>
        <w:t xml:space="preserve"> (Argentina)</w:t>
      </w:r>
    </w:p>
    <w:p w14:paraId="1A22ECAF" w14:textId="77777777" w:rsidR="007040B0" w:rsidRPr="00922A02" w:rsidRDefault="007040B0" w:rsidP="00922A02">
      <w:pPr>
        <w:spacing w:line="480" w:lineRule="auto"/>
        <w:jc w:val="both"/>
        <w:rPr>
          <w:rFonts w:ascii="Times New Roman" w:hAnsi="Times New Roman" w:cs="Times New Roman"/>
          <w:sz w:val="24"/>
          <w:szCs w:val="24"/>
        </w:rPr>
      </w:pPr>
      <w:r w:rsidRPr="00922A02">
        <w:rPr>
          <w:rFonts w:ascii="Times New Roman" w:hAnsi="Times New Roman" w:cs="Times New Roman"/>
          <w:sz w:val="24"/>
          <w:szCs w:val="24"/>
        </w:rPr>
        <w:t>Constitution of the Argentine Rep</w:t>
      </w:r>
      <w:r w:rsidRPr="007040B0">
        <w:rPr>
          <w:rFonts w:ascii="Times New Roman" w:hAnsi="Times New Roman" w:cs="Times New Roman"/>
          <w:sz w:val="24"/>
          <w:szCs w:val="24"/>
        </w:rPr>
        <w:t>ublic (1994)</w:t>
      </w:r>
    </w:p>
    <w:p w14:paraId="48DEC034" w14:textId="77777777" w:rsidR="007040B0" w:rsidRPr="007040B0" w:rsidRDefault="007040B0" w:rsidP="00922A02">
      <w:pPr>
        <w:pStyle w:val="NormalWeb"/>
        <w:spacing w:before="150" w:beforeAutospacing="0" w:after="300" w:afterAutospacing="0"/>
        <w:ind w:right="600"/>
        <w:jc w:val="both"/>
      </w:pPr>
      <w:r w:rsidRPr="007040B0">
        <w:rPr>
          <w:bCs/>
          <w:color w:val="000000"/>
        </w:rPr>
        <w:lastRenderedPageBreak/>
        <w:t>Jurisdicción</w:t>
      </w:r>
      <w:r w:rsidRPr="00922A02">
        <w:rPr>
          <w:bCs/>
          <w:color w:val="000000"/>
        </w:rPr>
        <w:t xml:space="preserve"> y </w:t>
      </w:r>
      <w:r>
        <w:rPr>
          <w:bCs/>
          <w:color w:val="000000"/>
        </w:rPr>
        <w:t>C</w:t>
      </w:r>
      <w:r w:rsidRPr="00922A02">
        <w:rPr>
          <w:bCs/>
          <w:color w:val="000000"/>
        </w:rPr>
        <w:t xml:space="preserve">ompetencia de los </w:t>
      </w:r>
      <w:r>
        <w:rPr>
          <w:bCs/>
          <w:color w:val="000000"/>
        </w:rPr>
        <w:t>T</w:t>
      </w:r>
      <w:r w:rsidRPr="00922A02">
        <w:rPr>
          <w:bCs/>
          <w:color w:val="000000"/>
        </w:rPr>
        <w:t xml:space="preserve">ribunales </w:t>
      </w:r>
      <w:r>
        <w:rPr>
          <w:bCs/>
          <w:color w:val="000000"/>
        </w:rPr>
        <w:t>N</w:t>
      </w:r>
      <w:r w:rsidRPr="00922A02">
        <w:rPr>
          <w:bCs/>
          <w:color w:val="000000"/>
        </w:rPr>
        <w:t xml:space="preserve">acionales, </w:t>
      </w:r>
      <w:r w:rsidR="00922A02">
        <w:rPr>
          <w:bCs/>
          <w:color w:val="000000"/>
        </w:rPr>
        <w:t>L</w:t>
      </w:r>
      <w:r w:rsidRPr="00922A02">
        <w:rPr>
          <w:bCs/>
          <w:color w:val="000000"/>
        </w:rPr>
        <w:t>ey 48 (1863)</w:t>
      </w:r>
      <w:r>
        <w:rPr>
          <w:bCs/>
          <w:color w:val="000000"/>
        </w:rPr>
        <w:t xml:space="preserve"> (Argentina)</w:t>
      </w:r>
    </w:p>
    <w:p w14:paraId="2480616F" w14:textId="77777777" w:rsidR="007040B0" w:rsidRPr="00394A8C" w:rsidRDefault="007040B0" w:rsidP="00085379">
      <w:pPr>
        <w:spacing w:line="480" w:lineRule="auto"/>
        <w:rPr>
          <w:rFonts w:ascii="Times New Roman" w:hAnsi="Times New Roman" w:cs="Times New Roman"/>
          <w:sz w:val="24"/>
          <w:szCs w:val="24"/>
        </w:rPr>
      </w:pPr>
      <w:r w:rsidRPr="00394A8C">
        <w:rPr>
          <w:rFonts w:ascii="Times New Roman" w:hAnsi="Times New Roman" w:cs="Times New Roman"/>
          <w:sz w:val="24"/>
          <w:szCs w:val="24"/>
        </w:rPr>
        <w:t xml:space="preserve">United States Constitution </w:t>
      </w:r>
    </w:p>
    <w:p w14:paraId="6C26B14B" w14:textId="77777777" w:rsidR="007040B0" w:rsidRPr="00922A02" w:rsidRDefault="007040B0" w:rsidP="00922A02">
      <w:pPr>
        <w:pStyle w:val="Heading3"/>
        <w:shd w:val="clear" w:color="auto" w:fill="FFFFFF"/>
        <w:jc w:val="both"/>
        <w:rPr>
          <w:rFonts w:ascii="Times New Roman" w:hAnsi="Times New Roman" w:cs="Times New Roman"/>
          <w:b w:val="0"/>
          <w:sz w:val="24"/>
          <w:szCs w:val="24"/>
        </w:rPr>
      </w:pPr>
      <w:r w:rsidRPr="00922A02">
        <w:rPr>
          <w:rFonts w:ascii="Times New Roman" w:eastAsia="Times New Roman" w:hAnsi="Times New Roman" w:cs="Times New Roman"/>
          <w:b w:val="0"/>
          <w:color w:val="222222"/>
          <w:sz w:val="24"/>
          <w:szCs w:val="24"/>
        </w:rPr>
        <w:t>U.S. Judiciary Act</w:t>
      </w:r>
      <w:r>
        <w:rPr>
          <w:rFonts w:ascii="Times New Roman" w:eastAsia="Times New Roman" w:hAnsi="Times New Roman" w:cs="Times New Roman"/>
          <w:b w:val="0"/>
          <w:color w:val="222222"/>
          <w:sz w:val="24"/>
          <w:szCs w:val="24"/>
        </w:rPr>
        <w:t xml:space="preserve"> of 1789,</w:t>
      </w:r>
      <w:r w:rsidRPr="00922A02">
        <w:rPr>
          <w:rFonts w:ascii="Times New Roman" w:eastAsia="Times New Roman" w:hAnsi="Times New Roman" w:cs="Times New Roman"/>
          <w:b w:val="0"/>
          <w:color w:val="222222"/>
          <w:sz w:val="24"/>
          <w:szCs w:val="24"/>
        </w:rPr>
        <w:t xml:space="preserve"> </w:t>
      </w:r>
      <w:r w:rsidRPr="00922A02">
        <w:rPr>
          <w:rFonts w:ascii="Times New Roman" w:hAnsi="Times New Roman" w:cs="Times New Roman"/>
          <w:b w:val="0"/>
          <w:color w:val="000000"/>
          <w:sz w:val="24"/>
          <w:szCs w:val="24"/>
        </w:rPr>
        <w:t xml:space="preserve">1 Stat. 73 </w:t>
      </w:r>
    </w:p>
    <w:sectPr w:rsidR="007040B0" w:rsidRPr="00922A02" w:rsidSect="003403BC">
      <w:footerReference w:type="default" r:id="rId25"/>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CA1FE" w14:textId="77777777" w:rsidR="00074A32" w:rsidRDefault="00074A32" w:rsidP="00A217AD">
      <w:pPr>
        <w:spacing w:after="0" w:line="240" w:lineRule="auto"/>
      </w:pPr>
      <w:r>
        <w:separator/>
      </w:r>
    </w:p>
  </w:endnote>
  <w:endnote w:type="continuationSeparator" w:id="0">
    <w:p w14:paraId="297A4A8E" w14:textId="77777777" w:rsidR="00074A32" w:rsidRDefault="00074A32" w:rsidP="00A217AD">
      <w:pPr>
        <w:spacing w:after="0" w:line="240" w:lineRule="auto"/>
      </w:pPr>
      <w:r>
        <w:continuationSeparator/>
      </w:r>
    </w:p>
  </w:endnote>
  <w:endnote w:id="1">
    <w:p w14:paraId="22EA8C22" w14:textId="6B132387" w:rsidR="00554406" w:rsidRPr="00204055" w:rsidRDefault="00554406" w:rsidP="00204055">
      <w:pPr>
        <w:autoSpaceDE w:val="0"/>
        <w:autoSpaceDN w:val="0"/>
        <w:adjustRightInd w:val="0"/>
        <w:spacing w:after="0" w:line="240" w:lineRule="auto"/>
        <w:jc w:val="both"/>
        <w:rPr>
          <w:rFonts w:ascii="Times New Roman" w:hAnsi="Times New Roman" w:cs="Times New Roman"/>
          <w:sz w:val="20"/>
          <w:szCs w:val="20"/>
        </w:rPr>
      </w:pPr>
      <w:r w:rsidRPr="00204055">
        <w:rPr>
          <w:rStyle w:val="EndnoteReference"/>
          <w:rFonts w:ascii="Times New Roman" w:hAnsi="Times New Roman" w:cs="Times New Roman"/>
          <w:sz w:val="20"/>
          <w:szCs w:val="20"/>
        </w:rPr>
        <w:endnoteRef/>
      </w:r>
      <w:r w:rsidRPr="00204055">
        <w:rPr>
          <w:rFonts w:ascii="Times New Roman" w:hAnsi="Times New Roman" w:cs="Times New Roman"/>
          <w:sz w:val="20"/>
          <w:szCs w:val="20"/>
        </w:rPr>
        <w:t xml:space="preserve"> Two prominent examples can be cited on this balancing effort. Brazil incorporated provisions to generate binding precedents (</w:t>
      </w:r>
      <w:proofErr w:type="spellStart"/>
      <w:r w:rsidRPr="00204055">
        <w:rPr>
          <w:rFonts w:ascii="Times New Roman" w:hAnsi="Times New Roman" w:cs="Times New Roman"/>
          <w:i/>
          <w:sz w:val="20"/>
          <w:szCs w:val="20"/>
        </w:rPr>
        <w:t>Súmula</w:t>
      </w:r>
      <w:proofErr w:type="spellEnd"/>
      <w:r w:rsidRPr="00204055">
        <w:rPr>
          <w:rFonts w:ascii="Times New Roman" w:hAnsi="Times New Roman" w:cs="Times New Roman"/>
          <w:i/>
          <w:sz w:val="20"/>
          <w:szCs w:val="20"/>
        </w:rPr>
        <w:t xml:space="preserve"> </w:t>
      </w:r>
      <w:proofErr w:type="spellStart"/>
      <w:r w:rsidRPr="00204055">
        <w:rPr>
          <w:rFonts w:ascii="Times New Roman" w:hAnsi="Times New Roman" w:cs="Times New Roman"/>
          <w:i/>
          <w:sz w:val="20"/>
          <w:szCs w:val="20"/>
        </w:rPr>
        <w:t>Vinculante</w:t>
      </w:r>
      <w:proofErr w:type="spellEnd"/>
      <w:r w:rsidRPr="00204055">
        <w:rPr>
          <w:rFonts w:ascii="Times New Roman" w:hAnsi="Times New Roman" w:cs="Times New Roman"/>
          <w:sz w:val="20"/>
          <w:szCs w:val="20"/>
        </w:rPr>
        <w:t>) and docket control techniques similar to the writ of certiorari (</w:t>
      </w:r>
      <w:proofErr w:type="spellStart"/>
      <w:r w:rsidRPr="00204055">
        <w:rPr>
          <w:rFonts w:ascii="Times New Roman" w:hAnsi="Times New Roman" w:cs="Times New Roman"/>
          <w:i/>
          <w:sz w:val="20"/>
          <w:szCs w:val="20"/>
        </w:rPr>
        <w:t>Requisito</w:t>
      </w:r>
      <w:proofErr w:type="spellEnd"/>
      <w:r w:rsidRPr="00204055">
        <w:rPr>
          <w:rFonts w:ascii="Times New Roman" w:hAnsi="Times New Roman" w:cs="Times New Roman"/>
          <w:i/>
          <w:sz w:val="20"/>
          <w:szCs w:val="20"/>
        </w:rPr>
        <w:t xml:space="preserve"> da </w:t>
      </w:r>
      <w:proofErr w:type="spellStart"/>
      <w:r w:rsidRPr="00204055">
        <w:rPr>
          <w:rFonts w:ascii="Times New Roman" w:hAnsi="Times New Roman" w:cs="Times New Roman"/>
          <w:i/>
          <w:sz w:val="20"/>
          <w:szCs w:val="20"/>
        </w:rPr>
        <w:t>Repercussāo</w:t>
      </w:r>
      <w:proofErr w:type="spellEnd"/>
      <w:r w:rsidRPr="00204055">
        <w:rPr>
          <w:rFonts w:ascii="Times New Roman" w:hAnsi="Times New Roman" w:cs="Times New Roman"/>
          <w:i/>
          <w:sz w:val="20"/>
          <w:szCs w:val="20"/>
        </w:rPr>
        <w:t xml:space="preserve"> </w:t>
      </w:r>
      <w:proofErr w:type="spellStart"/>
      <w:r w:rsidRPr="00204055">
        <w:rPr>
          <w:rFonts w:ascii="Times New Roman" w:hAnsi="Times New Roman" w:cs="Times New Roman"/>
          <w:i/>
          <w:sz w:val="20"/>
          <w:szCs w:val="20"/>
        </w:rPr>
        <w:t>Geral</w:t>
      </w:r>
      <w:proofErr w:type="spellEnd"/>
      <w:r w:rsidRPr="00204055">
        <w:rPr>
          <w:rFonts w:ascii="Times New Roman" w:hAnsi="Times New Roman" w:cs="Times New Roman"/>
          <w:sz w:val="20"/>
          <w:szCs w:val="20"/>
        </w:rPr>
        <w:t xml:space="preserve">) after the Brazilian Supreme Court received more than 160,000 appeals during 2002. See Maria A. Oliveira &amp; </w:t>
      </w:r>
      <w:proofErr w:type="spellStart"/>
      <w:r w:rsidRPr="00204055">
        <w:rPr>
          <w:rFonts w:ascii="Times New Roman" w:hAnsi="Times New Roman" w:cs="Times New Roman"/>
          <w:sz w:val="20"/>
          <w:szCs w:val="20"/>
        </w:rPr>
        <w:t>Nuno</w:t>
      </w:r>
      <w:proofErr w:type="spellEnd"/>
      <w:r w:rsidRPr="00204055">
        <w:rPr>
          <w:rFonts w:ascii="Times New Roman" w:hAnsi="Times New Roman" w:cs="Times New Roman"/>
          <w:sz w:val="20"/>
          <w:szCs w:val="20"/>
        </w:rPr>
        <w:t xml:space="preserve"> </w:t>
      </w:r>
      <w:proofErr w:type="spellStart"/>
      <w:r w:rsidRPr="00204055">
        <w:rPr>
          <w:rFonts w:ascii="Times New Roman" w:hAnsi="Times New Roman" w:cs="Times New Roman"/>
          <w:sz w:val="20"/>
          <w:szCs w:val="20"/>
        </w:rPr>
        <w:t>Garoupa</w:t>
      </w:r>
      <w:proofErr w:type="spellEnd"/>
      <w:r w:rsidRPr="00204055">
        <w:rPr>
          <w:rFonts w:ascii="Times New Roman" w:hAnsi="Times New Roman" w:cs="Times New Roman"/>
          <w:sz w:val="20"/>
          <w:szCs w:val="20"/>
        </w:rPr>
        <w:t xml:space="preserve">, </w:t>
      </w:r>
      <w:r w:rsidRPr="00204055">
        <w:rPr>
          <w:rFonts w:ascii="Times New Roman" w:hAnsi="Times New Roman" w:cs="Times New Roman"/>
          <w:i/>
          <w:iCs/>
          <w:sz w:val="20"/>
          <w:szCs w:val="20"/>
        </w:rPr>
        <w:t xml:space="preserve">Stare Decisis and </w:t>
      </w:r>
      <w:proofErr w:type="spellStart"/>
      <w:r w:rsidRPr="00204055">
        <w:rPr>
          <w:rFonts w:ascii="Times New Roman" w:hAnsi="Times New Roman" w:cs="Times New Roman"/>
          <w:i/>
          <w:iCs/>
          <w:sz w:val="20"/>
          <w:szCs w:val="20"/>
        </w:rPr>
        <w:t>Certiroari</w:t>
      </w:r>
      <w:proofErr w:type="spellEnd"/>
      <w:r w:rsidRPr="00204055">
        <w:rPr>
          <w:rFonts w:ascii="Times New Roman" w:hAnsi="Times New Roman" w:cs="Times New Roman"/>
          <w:i/>
          <w:iCs/>
          <w:sz w:val="20"/>
          <w:szCs w:val="20"/>
        </w:rPr>
        <w:t xml:space="preserve"> Arrive to Brazil: A Comparative Law and Economics Approach</w:t>
      </w:r>
      <w:r w:rsidRPr="00204055">
        <w:rPr>
          <w:rFonts w:ascii="Times New Roman" w:hAnsi="Times New Roman" w:cs="Times New Roman"/>
          <w:sz w:val="20"/>
          <w:szCs w:val="20"/>
        </w:rPr>
        <w:t xml:space="preserve">, 26 Emory Int'l L. Rev. 555 (2012). In India the Supreme Court received over 80,000 thousand appeals in 2014. Nevertheless, in a recent decision on the Constitutional Bench matter of </w:t>
      </w:r>
      <w:r w:rsidRPr="00204055">
        <w:rPr>
          <w:rStyle w:val="Emphasis"/>
          <w:rFonts w:ascii="Times New Roman" w:hAnsi="Times New Roman" w:cs="Times New Roman"/>
          <w:sz w:val="20"/>
          <w:szCs w:val="20"/>
          <w:bdr w:val="none" w:sz="0" w:space="0" w:color="auto" w:frame="1"/>
          <w:shd w:val="clear" w:color="auto" w:fill="FFFFFF"/>
        </w:rPr>
        <w:t xml:space="preserve">Mathai @ </w:t>
      </w:r>
      <w:proofErr w:type="spellStart"/>
      <w:r w:rsidRPr="00204055">
        <w:rPr>
          <w:rStyle w:val="Emphasis"/>
          <w:rFonts w:ascii="Times New Roman" w:hAnsi="Times New Roman" w:cs="Times New Roman"/>
          <w:sz w:val="20"/>
          <w:szCs w:val="20"/>
          <w:bdr w:val="none" w:sz="0" w:space="0" w:color="auto" w:frame="1"/>
          <w:shd w:val="clear" w:color="auto" w:fill="FFFFFF"/>
        </w:rPr>
        <w:t>Joby</w:t>
      </w:r>
      <w:proofErr w:type="spellEnd"/>
      <w:r w:rsidRPr="00204055">
        <w:rPr>
          <w:rStyle w:val="Emphasis"/>
          <w:rFonts w:ascii="Times New Roman" w:hAnsi="Times New Roman" w:cs="Times New Roman"/>
          <w:sz w:val="20"/>
          <w:szCs w:val="20"/>
          <w:bdr w:val="none" w:sz="0" w:space="0" w:color="auto" w:frame="1"/>
          <w:shd w:val="clear" w:color="auto" w:fill="FFFFFF"/>
        </w:rPr>
        <w:t xml:space="preserve"> v. George &amp; </w:t>
      </w:r>
      <w:proofErr w:type="spellStart"/>
      <w:r w:rsidRPr="00204055">
        <w:rPr>
          <w:rStyle w:val="Emphasis"/>
          <w:rFonts w:ascii="Times New Roman" w:hAnsi="Times New Roman" w:cs="Times New Roman"/>
          <w:sz w:val="20"/>
          <w:szCs w:val="20"/>
          <w:bdr w:val="none" w:sz="0" w:space="0" w:color="auto" w:frame="1"/>
          <w:shd w:val="clear" w:color="auto" w:fill="FFFFFF"/>
        </w:rPr>
        <w:t>Anr</w:t>
      </w:r>
      <w:proofErr w:type="spellEnd"/>
      <w:r w:rsidRPr="00204055">
        <w:rPr>
          <w:rStyle w:val="apple-converted-space"/>
          <w:rFonts w:ascii="Times New Roman" w:hAnsi="Times New Roman" w:cs="Times New Roman"/>
          <w:sz w:val="20"/>
          <w:szCs w:val="20"/>
          <w:shd w:val="clear" w:color="auto" w:fill="FFFFFF"/>
        </w:rPr>
        <w:t> </w:t>
      </w:r>
      <w:r w:rsidRPr="00204055">
        <w:rPr>
          <w:rFonts w:ascii="Times New Roman" w:hAnsi="Times New Roman" w:cs="Times New Roman"/>
          <w:sz w:val="20"/>
          <w:szCs w:val="20"/>
          <w:shd w:val="clear" w:color="auto" w:fill="FFFFFF"/>
        </w:rPr>
        <w:t xml:space="preserve">SLP (C) No. 7105 of 2010, the Court refused to establish guidelines that would help in dismissing appeals. See </w:t>
      </w:r>
      <w:proofErr w:type="spellStart"/>
      <w:r w:rsidRPr="00204055">
        <w:rPr>
          <w:rFonts w:ascii="Times New Roman" w:hAnsi="Times New Roman" w:cs="Times New Roman"/>
          <w:sz w:val="20"/>
          <w:szCs w:val="20"/>
          <w:shd w:val="clear" w:color="auto" w:fill="FFFFFF"/>
        </w:rPr>
        <w:t>Rishad</w:t>
      </w:r>
      <w:proofErr w:type="spellEnd"/>
      <w:r w:rsidRPr="00204055">
        <w:rPr>
          <w:rFonts w:ascii="Times New Roman" w:hAnsi="Times New Roman" w:cs="Times New Roman"/>
          <w:sz w:val="20"/>
          <w:szCs w:val="20"/>
          <w:shd w:val="clear" w:color="auto" w:fill="FFFFFF"/>
        </w:rPr>
        <w:t xml:space="preserve"> Chowdhury,</w:t>
      </w:r>
      <w:r w:rsidRPr="00204055">
        <w:rPr>
          <w:rStyle w:val="apple-converted-space"/>
          <w:rFonts w:ascii="Times New Roman" w:hAnsi="Times New Roman" w:cs="Times New Roman"/>
          <w:sz w:val="20"/>
          <w:szCs w:val="20"/>
          <w:shd w:val="clear" w:color="auto" w:fill="FFFFFF"/>
        </w:rPr>
        <w:t> </w:t>
      </w:r>
      <w:r w:rsidRPr="00204055">
        <w:rPr>
          <w:rStyle w:val="Emphasis"/>
          <w:rFonts w:ascii="Times New Roman" w:hAnsi="Times New Roman" w:cs="Times New Roman"/>
          <w:sz w:val="20"/>
          <w:szCs w:val="20"/>
          <w:bdr w:val="none" w:sz="0" w:space="0" w:color="auto" w:frame="1"/>
          <w:shd w:val="clear" w:color="auto" w:fill="FFFFFF"/>
        </w:rPr>
        <w:t>The Indian Supreme Court Declines to Revisit its Docket Crisis: The Most Important Recent Order That You’ve Never Heard of</w:t>
      </w:r>
      <w:r w:rsidRPr="00204055">
        <w:rPr>
          <w:rFonts w:ascii="Times New Roman" w:hAnsi="Times New Roman" w:cs="Times New Roman"/>
          <w:sz w:val="20"/>
          <w:szCs w:val="20"/>
          <w:shd w:val="clear" w:color="auto" w:fill="FFFFFF"/>
        </w:rPr>
        <w:t xml:space="preserve">, Int’l Const. L. Blog, Jan. 27, 2016, at: http://www.iconnectblog.com/2016/01/the-indian-supreme-court-declines-to-revisit-its-docket-crisis-the-most-important-recent-order-that-youve-never-heard-of/ </w:t>
      </w:r>
      <w:r w:rsidRPr="00204055">
        <w:rPr>
          <w:rFonts w:ascii="Times New Roman" w:hAnsi="Times New Roman" w:cs="Times New Roman"/>
          <w:sz w:val="20"/>
          <w:szCs w:val="20"/>
        </w:rPr>
        <w:t xml:space="preserve"> </w:t>
      </w:r>
    </w:p>
  </w:endnote>
  <w:endnote w:id="2">
    <w:p w14:paraId="1DF86E4A" w14:textId="77777777" w:rsidR="00554406" w:rsidRPr="00204055" w:rsidRDefault="00554406" w:rsidP="00204055">
      <w:pPr>
        <w:pStyle w:val="EndnoteText"/>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r w:rsidRPr="00204055">
        <w:rPr>
          <w:rFonts w:ascii="Times New Roman" w:eastAsia="Times New Roman" w:hAnsi="Times New Roman" w:cs="Times New Roman"/>
          <w:color w:val="222222"/>
        </w:rPr>
        <w:t xml:space="preserve">The Argentine constitution’s basic framework for federal jurisdiction closely follows article III, section 2 of the US constitution. </w:t>
      </w:r>
      <w:proofErr w:type="spellStart"/>
      <w:proofErr w:type="gramStart"/>
      <w:r w:rsidRPr="00204055">
        <w:rPr>
          <w:rFonts w:ascii="Times New Roman" w:hAnsi="Times New Roman" w:cs="Times New Roman"/>
        </w:rPr>
        <w:t>Garay</w:t>
      </w:r>
      <w:proofErr w:type="spellEnd"/>
      <w:r w:rsidRPr="00204055">
        <w:rPr>
          <w:rFonts w:ascii="Times New Roman" w:hAnsi="Times New Roman" w:cs="Times New Roman"/>
        </w:rPr>
        <w:t xml:space="preserve"> (1991).</w:t>
      </w:r>
      <w:proofErr w:type="gramEnd"/>
    </w:p>
  </w:endnote>
  <w:endnote w:id="3">
    <w:p w14:paraId="03072129" w14:textId="77777777" w:rsidR="00554406" w:rsidRPr="00204055" w:rsidRDefault="00554406" w:rsidP="00204055">
      <w:pPr>
        <w:pStyle w:val="Default"/>
        <w:jc w:val="both"/>
        <w:rPr>
          <w:rFonts w:ascii="Times New Roman" w:hAnsi="Times New Roman" w:cs="Times New Roman"/>
          <w:sz w:val="20"/>
          <w:szCs w:val="20"/>
          <w:lang w:val="en-US"/>
        </w:rPr>
      </w:pPr>
      <w:r w:rsidRPr="00204055">
        <w:rPr>
          <w:rStyle w:val="EndnoteReference"/>
          <w:rFonts w:ascii="Times New Roman" w:hAnsi="Times New Roman" w:cs="Times New Roman"/>
          <w:sz w:val="20"/>
          <w:szCs w:val="20"/>
        </w:rPr>
        <w:endnoteRef/>
      </w:r>
      <w:r w:rsidRPr="00204055">
        <w:rPr>
          <w:rFonts w:ascii="Times New Roman" w:hAnsi="Times New Roman" w:cs="Times New Roman"/>
          <w:sz w:val="20"/>
          <w:szCs w:val="20"/>
          <w:lang w:val="en-US"/>
        </w:rPr>
        <w:t xml:space="preserve"> </w:t>
      </w:r>
      <w:proofErr w:type="spellStart"/>
      <w:proofErr w:type="gramStart"/>
      <w:r w:rsidRPr="00204055">
        <w:rPr>
          <w:rFonts w:ascii="Times New Roman" w:hAnsi="Times New Roman" w:cs="Times New Roman"/>
          <w:sz w:val="20"/>
          <w:szCs w:val="20"/>
          <w:lang w:val="en-US"/>
        </w:rPr>
        <w:t>Ruibal</w:t>
      </w:r>
      <w:proofErr w:type="spellEnd"/>
      <w:r w:rsidRPr="00204055">
        <w:rPr>
          <w:rFonts w:ascii="Times New Roman" w:hAnsi="Times New Roman" w:cs="Times New Roman"/>
          <w:sz w:val="20"/>
          <w:szCs w:val="20"/>
          <w:lang w:val="en-US"/>
        </w:rPr>
        <w:t>(</w:t>
      </w:r>
      <w:proofErr w:type="gramEnd"/>
      <w:r w:rsidRPr="00204055">
        <w:rPr>
          <w:rFonts w:ascii="Times New Roman" w:hAnsi="Times New Roman" w:cs="Times New Roman"/>
          <w:sz w:val="20"/>
          <w:szCs w:val="20"/>
          <w:lang w:val="en-US"/>
        </w:rPr>
        <w:t>2009).</w:t>
      </w:r>
    </w:p>
  </w:endnote>
  <w:endnote w:id="4">
    <w:p w14:paraId="438FD020"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r w:rsidRPr="00204055">
        <w:rPr>
          <w:rFonts w:ascii="Times New Roman" w:eastAsia="Times New Roman" w:hAnsi="Times New Roman" w:cs="Times New Roman"/>
          <w:color w:val="222222"/>
        </w:rPr>
        <w:t xml:space="preserve">When the Argentine parliament established the Supreme Court appellate jurisdiction, it followed closely the U.S. Judiciary Act of 1789. </w:t>
      </w:r>
    </w:p>
  </w:endnote>
  <w:endnote w:id="5">
    <w:p w14:paraId="7F30383C"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proofErr w:type="gramStart"/>
      <w:r w:rsidRPr="00204055">
        <w:rPr>
          <w:rFonts w:ascii="Times New Roman" w:hAnsi="Times New Roman" w:cs="Times New Roman"/>
        </w:rPr>
        <w:t>Argentine Constitution, Art.</w:t>
      </w:r>
      <w:proofErr w:type="gramEnd"/>
      <w:r w:rsidRPr="00204055">
        <w:rPr>
          <w:rFonts w:ascii="Times New Roman" w:hAnsi="Times New Roman" w:cs="Times New Roman"/>
        </w:rPr>
        <w:t xml:space="preserve"> </w:t>
      </w:r>
      <w:proofErr w:type="gramStart"/>
      <w:r w:rsidRPr="00204055">
        <w:rPr>
          <w:rFonts w:ascii="Times New Roman" w:hAnsi="Times New Roman" w:cs="Times New Roman"/>
        </w:rPr>
        <w:t>117 and art.</w:t>
      </w:r>
      <w:proofErr w:type="gramEnd"/>
      <w:r w:rsidRPr="00204055">
        <w:rPr>
          <w:rFonts w:ascii="Times New Roman" w:hAnsi="Times New Roman" w:cs="Times New Roman"/>
        </w:rPr>
        <w:t xml:space="preserve"> </w:t>
      </w:r>
      <w:proofErr w:type="gramStart"/>
      <w:r w:rsidRPr="00204055">
        <w:rPr>
          <w:rFonts w:ascii="Times New Roman" w:hAnsi="Times New Roman" w:cs="Times New Roman"/>
        </w:rPr>
        <w:t>1 of Act 48 (</w:t>
      </w:r>
      <w:proofErr w:type="spellStart"/>
      <w:r w:rsidRPr="00204055">
        <w:rPr>
          <w:rFonts w:ascii="Times New Roman" w:hAnsi="Times New Roman" w:cs="Times New Roman"/>
        </w:rPr>
        <w:t>Organización</w:t>
      </w:r>
      <w:proofErr w:type="spellEnd"/>
      <w:r w:rsidRPr="00204055">
        <w:rPr>
          <w:rFonts w:ascii="Times New Roman" w:hAnsi="Times New Roman" w:cs="Times New Roman"/>
        </w:rPr>
        <w:t xml:space="preserve"> y </w:t>
      </w:r>
      <w:proofErr w:type="spellStart"/>
      <w:r w:rsidRPr="00204055">
        <w:rPr>
          <w:rFonts w:ascii="Times New Roman" w:hAnsi="Times New Roman" w:cs="Times New Roman"/>
        </w:rPr>
        <w:t>Competencia</w:t>
      </w:r>
      <w:proofErr w:type="spellEnd"/>
      <w:r w:rsidRPr="00204055">
        <w:rPr>
          <w:rFonts w:ascii="Times New Roman" w:hAnsi="Times New Roman" w:cs="Times New Roman"/>
        </w:rPr>
        <w:t xml:space="preserve"> de </w:t>
      </w:r>
      <w:proofErr w:type="spellStart"/>
      <w:r w:rsidRPr="00204055">
        <w:rPr>
          <w:rFonts w:ascii="Times New Roman" w:hAnsi="Times New Roman" w:cs="Times New Roman"/>
        </w:rPr>
        <w:t>los</w:t>
      </w:r>
      <w:proofErr w:type="spellEnd"/>
      <w:r w:rsidRPr="00204055">
        <w:rPr>
          <w:rFonts w:ascii="Times New Roman" w:hAnsi="Times New Roman" w:cs="Times New Roman"/>
        </w:rPr>
        <w:t xml:space="preserve"> </w:t>
      </w:r>
      <w:proofErr w:type="spellStart"/>
      <w:r w:rsidRPr="00204055">
        <w:rPr>
          <w:rFonts w:ascii="Times New Roman" w:hAnsi="Times New Roman" w:cs="Times New Roman"/>
        </w:rPr>
        <w:t>Tribunales</w:t>
      </w:r>
      <w:proofErr w:type="spellEnd"/>
      <w:r w:rsidRPr="00204055">
        <w:rPr>
          <w:rFonts w:ascii="Times New Roman" w:hAnsi="Times New Roman" w:cs="Times New Roman"/>
        </w:rPr>
        <w:t xml:space="preserve"> </w:t>
      </w:r>
      <w:proofErr w:type="spellStart"/>
      <w:r w:rsidRPr="00204055">
        <w:rPr>
          <w:rFonts w:ascii="Times New Roman" w:hAnsi="Times New Roman" w:cs="Times New Roman"/>
        </w:rPr>
        <w:t>Nacionales</w:t>
      </w:r>
      <w:proofErr w:type="spellEnd"/>
      <w:r w:rsidRPr="00204055">
        <w:rPr>
          <w:rFonts w:ascii="Times New Roman" w:hAnsi="Times New Roman" w:cs="Times New Roman"/>
        </w:rPr>
        <w:t>).</w:t>
      </w:r>
      <w:proofErr w:type="gramEnd"/>
    </w:p>
  </w:endnote>
  <w:endnote w:id="6">
    <w:p w14:paraId="77EA5A1E"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r w:rsidRPr="00204055">
        <w:rPr>
          <w:rFonts w:ascii="Times New Roman" w:eastAsia="Times New Roman" w:hAnsi="Times New Roman" w:cs="Times New Roman"/>
          <w:color w:val="222222"/>
        </w:rPr>
        <w:t xml:space="preserve">In most of these cases, the Supreme Court possess appellate jurisdiction, save for those cases </w:t>
      </w:r>
      <w:r w:rsidRPr="00204055">
        <w:rPr>
          <w:rFonts w:ascii="Times New Roman" w:hAnsi="Times New Roman" w:cs="Times New Roman"/>
          <w:color w:val="000000"/>
          <w:shd w:val="clear" w:color="auto" w:fill="FFFFFF"/>
        </w:rPr>
        <w:t xml:space="preserve">concerning foreign ambassadors, ministers and consuls, and in those in which a province shall be a party, where the Court has original and exclusive jurisdiction. </w:t>
      </w:r>
      <w:r w:rsidRPr="00204055">
        <w:rPr>
          <w:rFonts w:ascii="Times New Roman" w:hAnsi="Times New Roman" w:cs="Times New Roman"/>
        </w:rPr>
        <w:t xml:space="preserve">See article 117 of the Argentine Constitution. An unofficial English version of the constitution is available at </w:t>
      </w:r>
      <w:hyperlink r:id="rId1" w:history="1">
        <w:r w:rsidRPr="00204055">
          <w:rPr>
            <w:rStyle w:val="Hyperlink"/>
            <w:rFonts w:ascii="Times New Roman" w:hAnsi="Times New Roman" w:cs="Times New Roman"/>
          </w:rPr>
          <w:t>http://www.senado.gov.ar/web/interes/constitucion/english.php</w:t>
        </w:r>
      </w:hyperlink>
      <w:r w:rsidRPr="00204055">
        <w:rPr>
          <w:rFonts w:ascii="Times New Roman" w:hAnsi="Times New Roman" w:cs="Times New Roman"/>
        </w:rPr>
        <w:t xml:space="preserve">. See, accordingly, article 1 of Law N° 48, available in Spanish at </w:t>
      </w:r>
      <w:hyperlink r:id="rId2" w:history="1">
        <w:r w:rsidRPr="00204055">
          <w:rPr>
            <w:rStyle w:val="Hyperlink"/>
            <w:rFonts w:ascii="Times New Roman" w:hAnsi="Times New Roman" w:cs="Times New Roman"/>
          </w:rPr>
          <w:t>http://www.infoleg.gov.ar/infolegInternet/anexos/115000-119999/116296/texact.htm</w:t>
        </w:r>
      </w:hyperlink>
    </w:p>
  </w:endnote>
  <w:endnote w:id="7">
    <w:p w14:paraId="749028B5"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proofErr w:type="gramStart"/>
      <w:r w:rsidRPr="00204055">
        <w:rPr>
          <w:rFonts w:ascii="Times New Roman" w:hAnsi="Times New Roman" w:cs="Times New Roman"/>
        </w:rPr>
        <w:t xml:space="preserve">Article 4 of Law N° 48, available in Spanish at </w:t>
      </w:r>
      <w:hyperlink r:id="rId3" w:history="1">
        <w:r w:rsidRPr="00204055">
          <w:rPr>
            <w:rStyle w:val="Hyperlink"/>
            <w:rFonts w:ascii="Times New Roman" w:hAnsi="Times New Roman" w:cs="Times New Roman"/>
          </w:rPr>
          <w:t>http://www.infoleg.gov.ar/infolegInternet/anexos/115000-119999/116296/texact.htm</w:t>
        </w:r>
      </w:hyperlink>
      <w:r w:rsidRPr="00204055">
        <w:rPr>
          <w:rStyle w:val="Hyperlink"/>
          <w:rFonts w:ascii="Times New Roman" w:hAnsi="Times New Roman" w:cs="Times New Roman"/>
        </w:rPr>
        <w:t>.</w:t>
      </w:r>
      <w:proofErr w:type="gramEnd"/>
    </w:p>
  </w:endnote>
  <w:endnote w:id="8">
    <w:p w14:paraId="597692AD"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proofErr w:type="gramStart"/>
      <w:r w:rsidRPr="00204055">
        <w:rPr>
          <w:rFonts w:ascii="Times New Roman" w:hAnsi="Times New Roman" w:cs="Times New Roman"/>
        </w:rPr>
        <w:t>Miller (manuscript on file with the authors, 133).</w:t>
      </w:r>
      <w:proofErr w:type="gramEnd"/>
    </w:p>
  </w:endnote>
  <w:endnote w:id="9">
    <w:p w14:paraId="34E5D87B"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Article 14 of Law N° 48, available in Spanish at </w:t>
      </w:r>
      <w:hyperlink r:id="rId4" w:history="1">
        <w:r w:rsidRPr="00204055">
          <w:rPr>
            <w:rStyle w:val="Hyperlink"/>
            <w:rFonts w:ascii="Times New Roman" w:hAnsi="Times New Roman" w:cs="Times New Roman"/>
          </w:rPr>
          <w:t>http://www.infoleg.gov.ar/infolegInternet/anexos/115000-119999/116296/texact.htm</w:t>
        </w:r>
      </w:hyperlink>
    </w:p>
  </w:endnote>
  <w:endnote w:id="10">
    <w:p w14:paraId="70AEB428" w14:textId="77777777" w:rsidR="00554406" w:rsidRPr="00204055" w:rsidRDefault="00554406" w:rsidP="00204055">
      <w:pPr>
        <w:pStyle w:val="EndnoteText"/>
        <w:jc w:val="both"/>
        <w:rPr>
          <w:rFonts w:ascii="Times New Roman" w:hAnsi="Times New Roman" w:cs="Times New Roman"/>
          <w:lang w:val="es-AR"/>
        </w:rPr>
      </w:pPr>
      <w:r w:rsidRPr="00204055">
        <w:rPr>
          <w:rStyle w:val="EndnoteReference"/>
          <w:rFonts w:ascii="Times New Roman" w:hAnsi="Times New Roman" w:cs="Times New Roman"/>
        </w:rPr>
        <w:endnoteRef/>
      </w:r>
      <w:r w:rsidRPr="00204055">
        <w:rPr>
          <w:rFonts w:ascii="Times New Roman" w:hAnsi="Times New Roman" w:cs="Times New Roman"/>
        </w:rPr>
        <w:t xml:space="preserve"> Ordinary appeals before the Supreme Court have become more and more common due to the fact that the figure required to have access to the Court was established during the 1990s and has not been updated in accordance with inflation. </w:t>
      </w:r>
      <w:r w:rsidRPr="00204055">
        <w:rPr>
          <w:rFonts w:ascii="Times New Roman" w:hAnsi="Times New Roman" w:cs="Times New Roman"/>
          <w:lang w:val="es-AR"/>
        </w:rPr>
        <w:t>(Anonymous interviewee)</w:t>
      </w:r>
    </w:p>
  </w:endnote>
  <w:endnote w:id="11">
    <w:p w14:paraId="79425BB0" w14:textId="77777777" w:rsidR="00554406" w:rsidRPr="00204055" w:rsidRDefault="00554406" w:rsidP="00204055">
      <w:pPr>
        <w:widowControl w:val="0"/>
        <w:autoSpaceDE w:val="0"/>
        <w:autoSpaceDN w:val="0"/>
        <w:adjustRightInd w:val="0"/>
        <w:spacing w:after="0" w:line="240" w:lineRule="auto"/>
        <w:jc w:val="both"/>
        <w:rPr>
          <w:rFonts w:ascii="Times New Roman" w:hAnsi="Times New Roman" w:cs="Times New Roman"/>
          <w:sz w:val="20"/>
          <w:szCs w:val="20"/>
        </w:rPr>
      </w:pPr>
      <w:r w:rsidRPr="00204055">
        <w:rPr>
          <w:rStyle w:val="EndnoteReference"/>
          <w:rFonts w:ascii="Times New Roman" w:hAnsi="Times New Roman" w:cs="Times New Roman"/>
          <w:sz w:val="20"/>
          <w:szCs w:val="20"/>
        </w:rPr>
        <w:endnoteRef/>
      </w:r>
      <w:r w:rsidRPr="00204055">
        <w:rPr>
          <w:rFonts w:ascii="Times New Roman" w:hAnsi="Times New Roman" w:cs="Times New Roman"/>
          <w:sz w:val="20"/>
          <w:szCs w:val="20"/>
          <w:lang w:val="es-AR"/>
        </w:rPr>
        <w:t xml:space="preserve"> </w:t>
      </w:r>
      <w:r w:rsidRPr="00204055">
        <w:rPr>
          <w:rFonts w:ascii="Times New Roman" w:hAnsi="Times New Roman" w:cs="Times New Roman"/>
          <w:i/>
          <w:color w:val="000000"/>
          <w:sz w:val="20"/>
          <w:szCs w:val="20"/>
          <w:lang w:val="es-AR"/>
        </w:rPr>
        <w:t>Sojo, Eduardo c/ Cámara de Diputados de la Nación</w:t>
      </w:r>
      <w:r w:rsidRPr="00204055">
        <w:rPr>
          <w:rFonts w:ascii="Times New Roman" w:hAnsi="Times New Roman" w:cs="Times New Roman"/>
          <w:b/>
          <w:sz w:val="20"/>
          <w:szCs w:val="20"/>
          <w:lang w:val="es-AR"/>
        </w:rPr>
        <w:t xml:space="preserve">, </w:t>
      </w:r>
      <w:r w:rsidRPr="00204055">
        <w:rPr>
          <w:rFonts w:ascii="Times New Roman" w:hAnsi="Times New Roman" w:cs="Times New Roman"/>
          <w:sz w:val="20"/>
          <w:szCs w:val="20"/>
          <w:lang w:val="es-AR"/>
        </w:rPr>
        <w:t>32 Fallos</w:t>
      </w:r>
      <w:r w:rsidRPr="00204055">
        <w:rPr>
          <w:rFonts w:ascii="Times New Roman" w:hAnsi="Times New Roman" w:cs="Times New Roman"/>
          <w:i/>
          <w:sz w:val="20"/>
          <w:szCs w:val="20"/>
          <w:lang w:val="es-AR"/>
        </w:rPr>
        <w:t xml:space="preserve"> </w:t>
      </w:r>
      <w:r w:rsidRPr="00204055">
        <w:rPr>
          <w:rFonts w:ascii="Times New Roman" w:hAnsi="Times New Roman" w:cs="Times New Roman"/>
          <w:sz w:val="20"/>
          <w:szCs w:val="20"/>
          <w:lang w:val="es-AR"/>
        </w:rPr>
        <w:t xml:space="preserve">120 (1887); Miller (unpublished manuscript). </w:t>
      </w:r>
      <w:r w:rsidRPr="00204055">
        <w:rPr>
          <w:rFonts w:ascii="Times New Roman" w:hAnsi="Times New Roman" w:cs="Times New Roman"/>
          <w:sz w:val="20"/>
          <w:szCs w:val="20"/>
        </w:rPr>
        <w:t>The 1994 Constitution, though, provides the Court with this authority explicitly (art. 43, para. 1).</w:t>
      </w:r>
    </w:p>
  </w:endnote>
  <w:endnote w:id="12">
    <w:p w14:paraId="01C46434" w14:textId="77777777" w:rsidR="00554406" w:rsidRPr="00204055" w:rsidRDefault="00554406" w:rsidP="00204055">
      <w:pPr>
        <w:pStyle w:val="EndnoteText"/>
        <w:jc w:val="both"/>
        <w:rPr>
          <w:rFonts w:ascii="Times New Roman" w:hAnsi="Times New Roman" w:cs="Times New Roman"/>
          <w:lang w:val="es-AR"/>
        </w:rPr>
      </w:pPr>
      <w:r w:rsidRPr="00204055">
        <w:rPr>
          <w:rStyle w:val="EndnoteReference"/>
          <w:rFonts w:ascii="Times New Roman" w:hAnsi="Times New Roman" w:cs="Times New Roman"/>
        </w:rPr>
        <w:endnoteRef/>
      </w:r>
      <w:r w:rsidRPr="00204055">
        <w:rPr>
          <w:rFonts w:ascii="Times New Roman" w:hAnsi="Times New Roman" w:cs="Times New Roman"/>
        </w:rPr>
        <w:t xml:space="preserve"> Tax Law appeals are always analyzed by the relevant JD (</w:t>
      </w:r>
      <w:proofErr w:type="spellStart"/>
      <w:r w:rsidRPr="00204055">
        <w:rPr>
          <w:rFonts w:ascii="Times New Roman" w:hAnsi="Times New Roman" w:cs="Times New Roman"/>
        </w:rPr>
        <w:t>Secretaría</w:t>
      </w:r>
      <w:proofErr w:type="spellEnd"/>
      <w:r w:rsidRPr="00204055">
        <w:rPr>
          <w:rFonts w:ascii="Times New Roman" w:hAnsi="Times New Roman" w:cs="Times New Roman"/>
        </w:rPr>
        <w:t xml:space="preserve"> Judicial no. 7). </w:t>
      </w:r>
      <w:r w:rsidRPr="00204055">
        <w:rPr>
          <w:rFonts w:ascii="Times New Roman" w:hAnsi="Times New Roman" w:cs="Times New Roman"/>
          <w:lang w:val="es-AR"/>
        </w:rPr>
        <w:t>Interview A-3.</w:t>
      </w:r>
    </w:p>
  </w:endnote>
  <w:endnote w:id="13">
    <w:p w14:paraId="6644DCB4" w14:textId="77777777" w:rsidR="00554406" w:rsidRPr="00204055" w:rsidRDefault="00554406" w:rsidP="00204055">
      <w:pPr>
        <w:pStyle w:val="EndnoteText"/>
        <w:jc w:val="both"/>
        <w:rPr>
          <w:rFonts w:ascii="Times New Roman" w:hAnsi="Times New Roman" w:cs="Times New Roman"/>
          <w:lang w:val="es-AR"/>
        </w:rPr>
      </w:pPr>
      <w:r w:rsidRPr="00204055">
        <w:rPr>
          <w:rStyle w:val="EndnoteReference"/>
          <w:rFonts w:ascii="Times New Roman" w:hAnsi="Times New Roman" w:cs="Times New Roman"/>
        </w:rPr>
        <w:endnoteRef/>
      </w:r>
      <w:r w:rsidRPr="00204055">
        <w:rPr>
          <w:rFonts w:ascii="Times New Roman" w:hAnsi="Times New Roman" w:cs="Times New Roman"/>
          <w:lang w:val="es-AR"/>
        </w:rPr>
        <w:t xml:space="preserve"> Arts 280 and 285, Código de Procedimiento Civil y Comercial de la Nación, Ley 23.774 (1990), available in </w:t>
      </w:r>
      <w:proofErr w:type="spellStart"/>
      <w:r w:rsidRPr="00204055">
        <w:rPr>
          <w:rFonts w:ascii="Times New Roman" w:hAnsi="Times New Roman" w:cs="Times New Roman"/>
          <w:lang w:val="es-AR"/>
        </w:rPr>
        <w:t>Spanish</w:t>
      </w:r>
      <w:proofErr w:type="spellEnd"/>
      <w:r w:rsidRPr="00204055">
        <w:rPr>
          <w:rFonts w:ascii="Times New Roman" w:hAnsi="Times New Roman" w:cs="Times New Roman"/>
          <w:lang w:val="es-AR"/>
        </w:rPr>
        <w:t xml:space="preserve"> at </w:t>
      </w:r>
      <w:hyperlink r:id="rId5" w:anchor="5" w:history="1">
        <w:r w:rsidRPr="00204055">
          <w:rPr>
            <w:rStyle w:val="Hyperlink"/>
            <w:rFonts w:ascii="Times New Roman" w:hAnsi="Times New Roman" w:cs="Times New Roman"/>
            <w:lang w:val="es-AR"/>
          </w:rPr>
          <w:t>http://www.infoleg.gov.ar/infolegInternet/anexos/15000-19999/16547/texact.htm#5</w:t>
        </w:r>
      </w:hyperlink>
      <w:r w:rsidRPr="00204055">
        <w:rPr>
          <w:rStyle w:val="Hyperlink"/>
          <w:rFonts w:ascii="Times New Roman" w:hAnsi="Times New Roman" w:cs="Times New Roman"/>
          <w:lang w:val="es-AR"/>
        </w:rPr>
        <w:t>.</w:t>
      </w:r>
    </w:p>
  </w:endnote>
  <w:endnote w:id="14">
    <w:p w14:paraId="7AD3DFF9"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An </w:t>
      </w:r>
      <w:proofErr w:type="spellStart"/>
      <w:r w:rsidRPr="00204055">
        <w:rPr>
          <w:rFonts w:ascii="Times New Roman" w:hAnsi="Times New Roman" w:cs="Times New Roman"/>
        </w:rPr>
        <w:t>ammendment</w:t>
      </w:r>
      <w:proofErr w:type="spellEnd"/>
      <w:r w:rsidRPr="00204055">
        <w:rPr>
          <w:rFonts w:ascii="Times New Roman" w:hAnsi="Times New Roman" w:cs="Times New Roman"/>
        </w:rPr>
        <w:t xml:space="preserve"> has established that Appeals should be presented in A4 type of paper.  </w:t>
      </w:r>
      <w:proofErr w:type="spellStart"/>
      <w:r w:rsidRPr="00204055">
        <w:rPr>
          <w:rFonts w:ascii="Times New Roman" w:hAnsi="Times New Roman" w:cs="Times New Roman"/>
          <w:i/>
        </w:rPr>
        <w:t>Acordada</w:t>
      </w:r>
      <w:proofErr w:type="spellEnd"/>
      <w:r w:rsidRPr="00204055">
        <w:rPr>
          <w:rFonts w:ascii="Times New Roman" w:hAnsi="Times New Roman" w:cs="Times New Roman"/>
          <w:i/>
        </w:rPr>
        <w:t xml:space="preserve"> 38/2011</w:t>
      </w:r>
      <w:r w:rsidRPr="00204055">
        <w:rPr>
          <w:rFonts w:ascii="Times New Roman" w:hAnsi="Times New Roman" w:cs="Times New Roman"/>
        </w:rPr>
        <w:t xml:space="preserve">. </w:t>
      </w:r>
    </w:p>
  </w:endnote>
  <w:endnote w:id="15">
    <w:p w14:paraId="2D444A98"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proofErr w:type="spellStart"/>
      <w:r w:rsidRPr="00204055">
        <w:rPr>
          <w:rFonts w:ascii="Times New Roman" w:hAnsi="Times New Roman" w:cs="Times New Roman"/>
          <w:i/>
        </w:rPr>
        <w:t>Acordada</w:t>
      </w:r>
      <w:proofErr w:type="spellEnd"/>
      <w:r w:rsidRPr="00204055">
        <w:rPr>
          <w:rFonts w:ascii="Times New Roman" w:hAnsi="Times New Roman" w:cs="Times New Roman"/>
          <w:i/>
        </w:rPr>
        <w:t xml:space="preserve"> </w:t>
      </w:r>
      <w:r w:rsidRPr="00204055">
        <w:rPr>
          <w:rFonts w:ascii="Times New Roman" w:hAnsi="Times New Roman" w:cs="Times New Roman"/>
        </w:rPr>
        <w:t>contains a model of the cover that both the initial appeal and the “</w:t>
      </w:r>
      <w:proofErr w:type="spellStart"/>
      <w:r w:rsidRPr="00204055">
        <w:rPr>
          <w:rFonts w:ascii="Times New Roman" w:hAnsi="Times New Roman" w:cs="Times New Roman"/>
        </w:rPr>
        <w:t>queja</w:t>
      </w:r>
      <w:proofErr w:type="spellEnd"/>
      <w:r w:rsidRPr="00204055">
        <w:rPr>
          <w:rFonts w:ascii="Times New Roman" w:hAnsi="Times New Roman" w:cs="Times New Roman"/>
        </w:rPr>
        <w:t>” should follow.</w:t>
      </w:r>
    </w:p>
  </w:endnote>
  <w:endnote w:id="16">
    <w:p w14:paraId="2FEE7BDE" w14:textId="77777777" w:rsidR="00554406" w:rsidRPr="00204055" w:rsidRDefault="00554406" w:rsidP="00204055">
      <w:pPr>
        <w:pStyle w:val="EndnoteText"/>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Boilerplate opinions are also used to dismiss appeals on discretionary grounds and on lack of autonomous reasoning grounds.</w:t>
      </w:r>
    </w:p>
  </w:endnote>
  <w:endnote w:id="17">
    <w:p w14:paraId="6B12B489"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In 2014, CSJN composition was reduced to 5 Justices. Hence, at least 3 Justices have to vote now. It should also be noted that a majority vote is reached for dismissal even if a vote provides other grounds for appeal dismissal in a separate opinion.</w:t>
      </w:r>
    </w:p>
  </w:endnote>
  <w:endnote w:id="18">
    <w:p w14:paraId="47A4D126"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This includes the appeal possibilities described in section 2 above under article 14 of Law N° 48.</w:t>
      </w:r>
    </w:p>
  </w:endnote>
  <w:endnote w:id="19">
    <w:p w14:paraId="18F86F81"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Another possibility is that the appellant invokes grave institutional consequences of the lower court opinion. These are quite rare.  </w:t>
      </w:r>
    </w:p>
  </w:endnote>
  <w:endnote w:id="20">
    <w:p w14:paraId="0DDA7365"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proofErr w:type="gramStart"/>
      <w:r w:rsidRPr="00204055">
        <w:rPr>
          <w:rFonts w:ascii="Times New Roman" w:hAnsi="Times New Roman" w:cs="Times New Roman"/>
        </w:rPr>
        <w:t>Interview A-5; A-9; A-15; A-1.</w:t>
      </w:r>
      <w:proofErr w:type="gramEnd"/>
    </w:p>
  </w:endnote>
  <w:endnote w:id="21">
    <w:p w14:paraId="1089A0C4"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See Section II above. </w:t>
      </w:r>
    </w:p>
  </w:endnote>
  <w:endnote w:id="22">
    <w:p w14:paraId="0AE94617"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Interview A-3.</w:t>
      </w:r>
    </w:p>
  </w:endnote>
  <w:endnote w:id="23">
    <w:p w14:paraId="32328D63"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Pension cases are somewhat particular and therefore we decided to exclude them from the analysis. Specifically, almost every pension case arises out of disputes between pensioners and the government due to lack of adjustments made to the pension amount over the years. Typically, lower courts would order the government to adjust those amounts according to a specific criterion and the government has adopted a policy which mandates its legal department to appeal each case up to the Supreme Court. Therefore, there are thousands of similar cases reaching the Supreme Court each year which don’t merit much attention. </w:t>
      </w:r>
    </w:p>
  </w:endnote>
  <w:endnote w:id="24">
    <w:p w14:paraId="5866EF2C" w14:textId="77777777" w:rsidR="00554406" w:rsidRPr="00204055" w:rsidRDefault="00554406" w:rsidP="00204055">
      <w:pPr>
        <w:pStyle w:val="EndnoteText"/>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Since the CSJN website contains all of the cases decided </w:t>
      </w:r>
      <w:r w:rsidRPr="00204055">
        <w:rPr>
          <w:rFonts w:ascii="Times New Roman" w:hAnsi="Times New Roman" w:cs="Times New Roman"/>
          <w:bCs/>
        </w:rPr>
        <w:t>by</w:t>
      </w:r>
      <w:r w:rsidRPr="00204055">
        <w:rPr>
          <w:rFonts w:ascii="Times New Roman" w:hAnsi="Times New Roman" w:cs="Times New Roman"/>
          <w:b/>
          <w:bCs/>
        </w:rPr>
        <w:t xml:space="preserve"> </w:t>
      </w:r>
      <w:r w:rsidRPr="00204055">
        <w:rPr>
          <w:rFonts w:ascii="Times New Roman" w:hAnsi="Times New Roman" w:cs="Times New Roman"/>
        </w:rPr>
        <w:t xml:space="preserve">the </w:t>
      </w:r>
      <w:r w:rsidRPr="00204055">
        <w:rPr>
          <w:rFonts w:ascii="Times New Roman" w:hAnsi="Times New Roman" w:cs="Times New Roman"/>
          <w:bCs/>
        </w:rPr>
        <w:t>CSJN</w:t>
      </w:r>
      <w:r w:rsidRPr="00204055">
        <w:rPr>
          <w:rFonts w:ascii="Times New Roman" w:hAnsi="Times New Roman" w:cs="Times New Roman"/>
          <w:b/>
          <w:bCs/>
        </w:rPr>
        <w:t xml:space="preserve">, </w:t>
      </w:r>
      <w:r w:rsidRPr="00204055">
        <w:rPr>
          <w:rFonts w:ascii="Times New Roman" w:hAnsi="Times New Roman" w:cs="Times New Roman"/>
        </w:rPr>
        <w:t xml:space="preserve">the resulting database provides a complete picture of </w:t>
      </w:r>
      <w:r w:rsidRPr="00204055">
        <w:rPr>
          <w:rFonts w:ascii="Times New Roman" w:hAnsi="Times New Roman" w:cs="Times New Roman"/>
          <w:bCs/>
        </w:rPr>
        <w:t>CSJN</w:t>
      </w:r>
      <w:r w:rsidRPr="00204055">
        <w:rPr>
          <w:rFonts w:ascii="Times New Roman" w:hAnsi="Times New Roman" w:cs="Times New Roman"/>
          <w:b/>
          <w:bCs/>
        </w:rPr>
        <w:t xml:space="preserve"> </w:t>
      </w:r>
      <w:r w:rsidRPr="00204055">
        <w:rPr>
          <w:rFonts w:ascii="Times New Roman" w:hAnsi="Times New Roman" w:cs="Times New Roman"/>
        </w:rPr>
        <w:t xml:space="preserve">decisional activity on </w:t>
      </w:r>
      <w:proofErr w:type="spellStart"/>
      <w:r w:rsidRPr="00204055">
        <w:rPr>
          <w:rFonts w:ascii="Times New Roman" w:hAnsi="Times New Roman" w:cs="Times New Roman"/>
          <w:i/>
        </w:rPr>
        <w:t>Acordada</w:t>
      </w:r>
      <w:proofErr w:type="spellEnd"/>
      <w:r w:rsidRPr="00204055">
        <w:rPr>
          <w:rFonts w:ascii="Times New Roman" w:hAnsi="Times New Roman" w:cs="Times New Roman"/>
        </w:rPr>
        <w:t xml:space="preserve"> in the covered period. We tested the comprehensiveness of the database </w:t>
      </w:r>
      <w:r w:rsidRPr="00204055">
        <w:rPr>
          <w:rFonts w:ascii="Times New Roman" w:hAnsi="Times New Roman" w:cs="Times New Roman"/>
          <w:bCs/>
        </w:rPr>
        <w:t>by</w:t>
      </w:r>
      <w:r w:rsidRPr="00204055">
        <w:rPr>
          <w:rFonts w:ascii="Times New Roman" w:hAnsi="Times New Roman" w:cs="Times New Roman"/>
          <w:b/>
          <w:bCs/>
        </w:rPr>
        <w:t xml:space="preserve"> </w:t>
      </w:r>
      <w:r w:rsidRPr="00204055">
        <w:rPr>
          <w:rFonts w:ascii="Times New Roman" w:hAnsi="Times New Roman" w:cs="Times New Roman"/>
        </w:rPr>
        <w:t xml:space="preserve">comparing it with data obtained from the CSJN's secretariat. This comparison suggested that the data obtained from the </w:t>
      </w:r>
      <w:r w:rsidRPr="00204055">
        <w:rPr>
          <w:rFonts w:ascii="Times New Roman" w:hAnsi="Times New Roman" w:cs="Times New Roman"/>
          <w:bCs/>
        </w:rPr>
        <w:t>CSJN</w:t>
      </w:r>
      <w:r w:rsidRPr="00204055">
        <w:rPr>
          <w:rFonts w:ascii="Times New Roman" w:hAnsi="Times New Roman" w:cs="Times New Roman"/>
          <w:b/>
          <w:bCs/>
        </w:rPr>
        <w:t xml:space="preserve"> </w:t>
      </w:r>
      <w:r w:rsidRPr="00204055">
        <w:rPr>
          <w:rFonts w:ascii="Times New Roman" w:hAnsi="Times New Roman" w:cs="Times New Roman"/>
        </w:rPr>
        <w:t>website is indeed comprehensive, covering the full gamut of cases rejected based on</w:t>
      </w:r>
      <w:r w:rsidRPr="00204055">
        <w:rPr>
          <w:rFonts w:ascii="Times New Roman" w:hAnsi="Times New Roman" w:cs="Times New Roman"/>
          <w:i/>
        </w:rPr>
        <w:t xml:space="preserve"> </w:t>
      </w:r>
      <w:proofErr w:type="spellStart"/>
      <w:r w:rsidRPr="00204055">
        <w:rPr>
          <w:rFonts w:ascii="Times New Roman" w:hAnsi="Times New Roman" w:cs="Times New Roman"/>
          <w:i/>
        </w:rPr>
        <w:t>Acordada</w:t>
      </w:r>
      <w:proofErr w:type="spellEnd"/>
      <w:r w:rsidRPr="00204055">
        <w:rPr>
          <w:rFonts w:ascii="Times New Roman" w:hAnsi="Times New Roman" w:cs="Times New Roman"/>
        </w:rPr>
        <w:t xml:space="preserve">. To the best of our knowledge, we assembled the first database to study CSJN appeals’ rejections based on formal errors. We were no able, however to revise the whole universe of CSJN decisions in 2012 to look for possible incorrect categorizations. Nonetheless, the elevated levels of sophistication shown by the CSJN and </w:t>
      </w:r>
      <w:proofErr w:type="gramStart"/>
      <w:r w:rsidRPr="00204055">
        <w:rPr>
          <w:rFonts w:ascii="Times New Roman" w:hAnsi="Times New Roman" w:cs="Times New Roman"/>
        </w:rPr>
        <w:t>its officials strongly suggests</w:t>
      </w:r>
      <w:proofErr w:type="gramEnd"/>
      <w:r w:rsidRPr="00204055">
        <w:rPr>
          <w:rFonts w:ascii="Times New Roman" w:hAnsi="Times New Roman" w:cs="Times New Roman"/>
        </w:rPr>
        <w:t xml:space="preserve"> a high level of accuracy.</w:t>
      </w:r>
    </w:p>
  </w:endnote>
  <w:endnote w:id="25">
    <w:p w14:paraId="7FF24D83"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Descriptive statistics for the year 2012 provided by the CSJN, available at http://www.pjn.gov.ar/07_estadisticas/Libros/Estadi_12/Corte_12.htm</w:t>
      </w:r>
    </w:p>
  </w:endnote>
  <w:endnote w:id="26">
    <w:p w14:paraId="0D949553"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For instance, the prospect of appeal dismissals on formal error grounds affects the probability of private settlements.</w:t>
      </w:r>
    </w:p>
  </w:endnote>
  <w:endnote w:id="27">
    <w:p w14:paraId="18315903" w14:textId="761F70BB"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r w:rsidR="008C37B6">
        <w:rPr>
          <w:rFonts w:ascii="Times New Roman" w:hAnsi="Times New Roman" w:cs="Times New Roman"/>
        </w:rPr>
        <w:t>All</w:t>
      </w:r>
      <w:r w:rsidRPr="00204055">
        <w:rPr>
          <w:rFonts w:ascii="Times New Roman" w:hAnsi="Times New Roman" w:cs="Times New Roman"/>
        </w:rPr>
        <w:t xml:space="preserve"> figures in this paragraph do not include pension law decisions.</w:t>
      </w:r>
      <w:r w:rsidR="003E73C4">
        <w:rPr>
          <w:rFonts w:ascii="Times New Roman" w:hAnsi="Times New Roman" w:cs="Times New Roman"/>
        </w:rPr>
        <w:t xml:space="preserve"> The exclusion of pension law decisions follows from the original aim of the database collected and the fact that pension law cases </w:t>
      </w:r>
      <w:r w:rsidR="00657730">
        <w:rPr>
          <w:rFonts w:ascii="Times New Roman" w:hAnsi="Times New Roman" w:cs="Times New Roman"/>
        </w:rPr>
        <w:t xml:space="preserve">-consisted mostly of amount readjustments- </w:t>
      </w:r>
      <w:r w:rsidR="003E73C4">
        <w:rPr>
          <w:rFonts w:ascii="Times New Roman" w:hAnsi="Times New Roman" w:cs="Times New Roman"/>
        </w:rPr>
        <w:t xml:space="preserve">were systematically litigated to CSJN even though the law on the subject </w:t>
      </w:r>
      <w:r w:rsidR="00657730">
        <w:rPr>
          <w:rFonts w:ascii="Times New Roman" w:hAnsi="Times New Roman" w:cs="Times New Roman"/>
        </w:rPr>
        <w:t>was settled</w:t>
      </w:r>
      <w:r w:rsidR="003E73C4">
        <w:rPr>
          <w:rFonts w:ascii="Times New Roman" w:hAnsi="Times New Roman" w:cs="Times New Roman"/>
        </w:rPr>
        <w:t>. This exclusion does not affect the results obtained.</w:t>
      </w:r>
      <w:r w:rsidRPr="00204055">
        <w:rPr>
          <w:rFonts w:ascii="Times New Roman" w:hAnsi="Times New Roman" w:cs="Times New Roman"/>
        </w:rPr>
        <w:t xml:space="preserve">   </w:t>
      </w:r>
    </w:p>
  </w:endnote>
  <w:endnote w:id="28">
    <w:p w14:paraId="6B8B5596" w14:textId="6603C991" w:rsidR="008C37B6" w:rsidRDefault="008C37B6">
      <w:pPr>
        <w:pStyle w:val="EndnoteText"/>
      </w:pPr>
      <w:r>
        <w:rPr>
          <w:rStyle w:val="EndnoteReference"/>
        </w:rPr>
        <w:endnoteRef/>
      </w:r>
      <w:r>
        <w:t xml:space="preserve"> </w:t>
      </w:r>
      <w:r w:rsidRPr="00204055">
        <w:rPr>
          <w:rFonts w:ascii="Times New Roman" w:hAnsi="Times New Roman" w:cs="Times New Roman"/>
        </w:rPr>
        <w:t xml:space="preserve">It is not uncommon for CSJN to decide more than one case in one opinion when there is a common factual and legal background. </w:t>
      </w:r>
    </w:p>
  </w:endnote>
  <w:endnote w:id="29">
    <w:p w14:paraId="383082FC" w14:textId="57A09483"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The other two main categories are lack of definitive lower court opinion (</w:t>
      </w:r>
      <w:r w:rsidR="00657730">
        <w:rPr>
          <w:rFonts w:ascii="Times New Roman" w:hAnsi="Times New Roman" w:cs="Times New Roman"/>
        </w:rPr>
        <w:t>6</w:t>
      </w:r>
      <w:r w:rsidRPr="00204055">
        <w:rPr>
          <w:rFonts w:ascii="Times New Roman" w:hAnsi="Times New Roman" w:cs="Times New Roman"/>
        </w:rPr>
        <w:t xml:space="preserve">%) and lack of fee payment (3%). </w:t>
      </w:r>
      <w:bookmarkStart w:id="0" w:name="_GoBack"/>
      <w:bookmarkEnd w:id="0"/>
    </w:p>
  </w:endnote>
  <w:endnote w:id="30">
    <w:p w14:paraId="381DCE8C"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Under this classification, any non-criminal case is coded as a civil case.</w:t>
      </w:r>
    </w:p>
  </w:endnote>
  <w:endnote w:id="31">
    <w:p w14:paraId="6A8991E5"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proofErr w:type="spellStart"/>
      <w:proofErr w:type="gramStart"/>
      <w:r w:rsidRPr="00204055">
        <w:rPr>
          <w:rFonts w:ascii="Times New Roman" w:hAnsi="Times New Roman" w:cs="Times New Roman"/>
        </w:rPr>
        <w:t>Sacrist</w:t>
      </w:r>
      <w:r w:rsidRPr="00204055">
        <w:rPr>
          <w:rFonts w:ascii="Times New Roman" w:hAnsi="Times New Roman" w:cs="Times New Roman"/>
          <w:i/>
        </w:rPr>
        <w:t>á</w:t>
      </w:r>
      <w:r w:rsidRPr="00204055">
        <w:rPr>
          <w:rFonts w:ascii="Times New Roman" w:hAnsi="Times New Roman" w:cs="Times New Roman"/>
        </w:rPr>
        <w:t>n</w:t>
      </w:r>
      <w:proofErr w:type="spellEnd"/>
      <w:r w:rsidRPr="00204055">
        <w:rPr>
          <w:rFonts w:ascii="Times New Roman" w:hAnsi="Times New Roman" w:cs="Times New Roman"/>
        </w:rPr>
        <w:t xml:space="preserve"> (2009).</w:t>
      </w:r>
      <w:proofErr w:type="gramEnd"/>
    </w:p>
  </w:endnote>
  <w:endnote w:id="32">
    <w:p w14:paraId="3AAEF182" w14:textId="77777777" w:rsidR="00554406" w:rsidRPr="00204055" w:rsidRDefault="00554406" w:rsidP="00204055">
      <w:pPr>
        <w:pStyle w:val="EndnoteText"/>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There are two exceptions to the circulation order by subject area. Justices </w:t>
      </w:r>
      <w:proofErr w:type="spellStart"/>
      <w:r w:rsidRPr="00204055">
        <w:rPr>
          <w:rFonts w:ascii="Times New Roman" w:hAnsi="Times New Roman" w:cs="Times New Roman"/>
        </w:rPr>
        <w:t>Maqueda</w:t>
      </w:r>
      <w:proofErr w:type="spellEnd"/>
      <w:r w:rsidRPr="00204055">
        <w:rPr>
          <w:rFonts w:ascii="Times New Roman" w:hAnsi="Times New Roman" w:cs="Times New Roman"/>
        </w:rPr>
        <w:t xml:space="preserve"> and </w:t>
      </w:r>
      <w:proofErr w:type="spellStart"/>
      <w:r w:rsidRPr="00204055">
        <w:rPr>
          <w:rFonts w:ascii="Times New Roman" w:hAnsi="Times New Roman" w:cs="Times New Roman"/>
        </w:rPr>
        <w:t>Petracchi</w:t>
      </w:r>
      <w:proofErr w:type="spellEnd"/>
      <w:r w:rsidRPr="00204055">
        <w:rPr>
          <w:rFonts w:ascii="Times New Roman" w:hAnsi="Times New Roman" w:cs="Times New Roman"/>
        </w:rPr>
        <w:t xml:space="preserve"> opted out of this circulation scheme and review each appeal, regardless of its subject matter.</w:t>
      </w:r>
    </w:p>
  </w:endnote>
  <w:endnote w:id="33">
    <w:p w14:paraId="6473D09B" w14:textId="77777777" w:rsidR="00554406" w:rsidRPr="00204055" w:rsidRDefault="00554406" w:rsidP="00204055">
      <w:pPr>
        <w:pStyle w:val="EndnoteText"/>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This information, of course, doesn’t speak to the total amount of opinions issued by each Justice. It is quite possible that the Justices who voted less in </w:t>
      </w:r>
      <w:proofErr w:type="spellStart"/>
      <w:r w:rsidRPr="00204055">
        <w:rPr>
          <w:rFonts w:ascii="Times New Roman" w:hAnsi="Times New Roman" w:cs="Times New Roman"/>
          <w:i/>
        </w:rPr>
        <w:t>Acordada</w:t>
      </w:r>
      <w:proofErr w:type="spellEnd"/>
      <w:r w:rsidRPr="00204055">
        <w:rPr>
          <w:rFonts w:ascii="Times New Roman" w:hAnsi="Times New Roman" w:cs="Times New Roman"/>
          <w:i/>
        </w:rPr>
        <w:t xml:space="preserve"> </w:t>
      </w:r>
      <w:r w:rsidRPr="00204055">
        <w:rPr>
          <w:rFonts w:ascii="Times New Roman" w:hAnsi="Times New Roman" w:cs="Times New Roman"/>
        </w:rPr>
        <w:t xml:space="preserve">opinions voted more in other type of opinions.  </w:t>
      </w:r>
    </w:p>
  </w:endnote>
  <w:endnote w:id="34">
    <w:p w14:paraId="4A16B5FB"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Article 3 cases refer to a hoist of criteria including </w:t>
      </w:r>
      <w:r w:rsidRPr="00204055">
        <w:rPr>
          <w:rFonts w:ascii="Times New Roman" w:hAnsi="Times New Roman" w:cs="Times New Roman"/>
          <w:color w:val="222222"/>
          <w:shd w:val="clear" w:color="auto" w:fill="FFFFFF"/>
        </w:rPr>
        <w:t>specific references about the court whose decision is appealed, the facts of the case, the type of harm the decision generates for the appellant, a clear refutation of “each and every independent argument” on which the attacked decision rests, and a “direct and clear relationship” between the federal norms invoked and the decision that has been reached. Article 2 refers to the requirements that the front page of the appeal must have.</w:t>
      </w:r>
    </w:p>
  </w:endnote>
  <w:endnote w:id="35">
    <w:p w14:paraId="645038B2"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proofErr w:type="gramStart"/>
      <w:r w:rsidRPr="00204055">
        <w:rPr>
          <w:rFonts w:ascii="Times New Roman" w:hAnsi="Times New Roman" w:cs="Times New Roman"/>
        </w:rPr>
        <w:t>Interview A-3; A-6; A-13; A-14.</w:t>
      </w:r>
      <w:proofErr w:type="gramEnd"/>
    </w:p>
  </w:endnote>
  <w:endnote w:id="36">
    <w:p w14:paraId="749BEEAF" w14:textId="77777777" w:rsidR="00554406" w:rsidRPr="00204055" w:rsidRDefault="00554406" w:rsidP="00204055">
      <w:pPr>
        <w:pStyle w:val="EndnoteText"/>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In unreported results we also tested case duration depending on appellant gender. We found no difference in mean duration.</w:t>
      </w:r>
    </w:p>
  </w:endnote>
  <w:endnote w:id="37">
    <w:p w14:paraId="1D20B09A"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This exclusion doesn’t affect our findings as Pension Law cases are dealt with by JD N° 2.</w:t>
      </w:r>
    </w:p>
  </w:endnote>
  <w:endnote w:id="38">
    <w:p w14:paraId="0A23D5B2"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This information is based on information available from CSJN website.</w:t>
      </w:r>
    </w:p>
  </w:endnote>
  <w:endnote w:id="39">
    <w:p w14:paraId="1BC9C7A9"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Here we assume that each law clerk handles independently a certain number of cases. This may not be the case. </w:t>
      </w:r>
    </w:p>
  </w:endnote>
  <w:endnote w:id="40">
    <w:p w14:paraId="26FD6880"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For instance, if we were to compare the average number of cases worked by each law clerk in JD N° 6 relative to the stock of Labor Law cases at the end of 2011 plus the total number of newly filed Labor Law cases in 2012, we see similar results. The average for all specialized JDs is 348 cases while the number for JD N° 6 is 319.</w:t>
      </w:r>
    </w:p>
  </w:endnote>
  <w:endnote w:id="41">
    <w:p w14:paraId="629EC2A0"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Interview A-3.</w:t>
      </w:r>
    </w:p>
  </w:endnote>
  <w:endnote w:id="42">
    <w:p w14:paraId="7F9D62F1"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proofErr w:type="spellStart"/>
      <w:r w:rsidRPr="00204055">
        <w:rPr>
          <w:rFonts w:ascii="Times New Roman" w:hAnsi="Times New Roman" w:cs="Times New Roman"/>
        </w:rPr>
        <w:t>Acordada</w:t>
      </w:r>
      <w:proofErr w:type="spellEnd"/>
      <w:r w:rsidRPr="00204055">
        <w:rPr>
          <w:rFonts w:ascii="Times New Roman" w:hAnsi="Times New Roman" w:cs="Times New Roman"/>
        </w:rPr>
        <w:t xml:space="preserve"> 1/12, available online at http://www.csjn.gov.ar/docus/documentos/verdoc.jsp</w:t>
      </w:r>
    </w:p>
  </w:endnote>
  <w:endnote w:id="43">
    <w:p w14:paraId="53E9AA31"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It should be noted that the bulk of separate and dissenting opinions come from three Justices: </w:t>
      </w:r>
      <w:proofErr w:type="spellStart"/>
      <w:r w:rsidRPr="00204055">
        <w:rPr>
          <w:rFonts w:ascii="Times New Roman" w:hAnsi="Times New Roman" w:cs="Times New Roman"/>
        </w:rPr>
        <w:t>Zaffaroni</w:t>
      </w:r>
      <w:proofErr w:type="spellEnd"/>
      <w:r w:rsidRPr="00204055">
        <w:rPr>
          <w:rFonts w:ascii="Times New Roman" w:hAnsi="Times New Roman" w:cs="Times New Roman"/>
        </w:rPr>
        <w:t xml:space="preserve"> (45%), </w:t>
      </w:r>
      <w:proofErr w:type="spellStart"/>
      <w:r w:rsidRPr="00204055">
        <w:rPr>
          <w:rFonts w:ascii="Times New Roman" w:hAnsi="Times New Roman" w:cs="Times New Roman"/>
        </w:rPr>
        <w:t>Maqueda</w:t>
      </w:r>
      <w:proofErr w:type="spellEnd"/>
      <w:r w:rsidRPr="00204055">
        <w:rPr>
          <w:rFonts w:ascii="Times New Roman" w:hAnsi="Times New Roman" w:cs="Times New Roman"/>
        </w:rPr>
        <w:t xml:space="preserve"> (28%) and </w:t>
      </w:r>
      <w:proofErr w:type="spellStart"/>
      <w:r w:rsidRPr="00204055">
        <w:rPr>
          <w:rFonts w:ascii="Times New Roman" w:hAnsi="Times New Roman" w:cs="Times New Roman"/>
        </w:rPr>
        <w:t>Highton</w:t>
      </w:r>
      <w:proofErr w:type="spellEnd"/>
      <w:r w:rsidRPr="00204055">
        <w:rPr>
          <w:rFonts w:ascii="Times New Roman" w:hAnsi="Times New Roman" w:cs="Times New Roman"/>
        </w:rPr>
        <w:t xml:space="preserve"> (19%).</w:t>
      </w:r>
    </w:p>
  </w:endnote>
  <w:endnote w:id="44">
    <w:p w14:paraId="4632F058" w14:textId="77777777" w:rsidR="00554406" w:rsidRPr="00204055" w:rsidRDefault="00554406" w:rsidP="00204055">
      <w:pPr>
        <w:pStyle w:val="EndnoteText"/>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proofErr w:type="gramStart"/>
      <w:r w:rsidRPr="00204055">
        <w:rPr>
          <w:rFonts w:ascii="Times New Roman" w:hAnsi="Times New Roman" w:cs="Times New Roman"/>
        </w:rPr>
        <w:t>Cleves (2010).</w:t>
      </w:r>
      <w:proofErr w:type="gramEnd"/>
    </w:p>
  </w:endnote>
  <w:endnote w:id="45">
    <w:p w14:paraId="2B3B31F1" w14:textId="77777777" w:rsidR="00554406" w:rsidRPr="00204055" w:rsidRDefault="00554406" w:rsidP="00204055">
      <w:pPr>
        <w:pStyle w:val="EndnoteText"/>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This accounts for 99% of the population of cases retrieved</w:t>
      </w:r>
    </w:p>
  </w:endnote>
  <w:endnote w:id="46">
    <w:p w14:paraId="18F7B974"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Following Cleves (2010) p. 277-279, we tested several </w:t>
      </w:r>
      <w:proofErr w:type="gramStart"/>
      <w:r w:rsidRPr="00204055">
        <w:rPr>
          <w:rFonts w:ascii="Times New Roman" w:hAnsi="Times New Roman" w:cs="Times New Roman"/>
        </w:rPr>
        <w:t>hypothesis</w:t>
      </w:r>
      <w:proofErr w:type="gramEnd"/>
      <w:r w:rsidRPr="00204055">
        <w:rPr>
          <w:rFonts w:ascii="Times New Roman" w:hAnsi="Times New Roman" w:cs="Times New Roman"/>
        </w:rPr>
        <w:t xml:space="preserve"> on the Gamma estimation to determine the best distribution assumption for the model. First, </w:t>
      </w:r>
      <w:r w:rsidRPr="00204055">
        <w:rPr>
          <w:rFonts w:ascii="Times New Roman" w:eastAsiaTheme="minorEastAsia" w:hAnsi="Times New Roman" w:cs="Times New Roman"/>
        </w:rPr>
        <w:t xml:space="preserve">we tested the null hypothesis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:kappa=1</m:t>
        </m:r>
      </m:oMath>
      <w:r w:rsidRPr="00204055">
        <w:rPr>
          <w:rFonts w:ascii="Times New Roman" w:eastAsiaTheme="minorEastAsia" w:hAnsi="Times New Roman" w:cs="Times New Roman"/>
        </w:rPr>
        <w:t xml:space="preserve"> to test for Weibull distribution and could reject it at a 99% confidence level (</w:t>
      </w:r>
      <m:oMath>
        <m:sSup>
          <m:sSupPr>
            <m:ctrlPr>
              <w:rPr>
                <w:rFonts w:ascii="Cambria Math" w:eastAsiaTheme="minorEastAsia" w:hAnsi="Cambria Math" w:cs="Times New Roman"/>
                <w:i/>
              </w:rPr>
            </m:ctrlPr>
          </m:sSupPr>
          <m:e>
            <m:r>
              <m:rPr>
                <m:sty m:val="p"/>
              </m:rPr>
              <w:rPr>
                <w:rFonts w:ascii="Cambria Math" w:eastAsiaTheme="minorEastAsia" w:hAnsi="Cambria Math" w:cs="Times New Roman"/>
              </w:rPr>
              <m:t>χ</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1</m:t>
            </m:r>
          </m:e>
        </m:d>
        <m:r>
          <w:rPr>
            <w:rFonts w:ascii="Cambria Math" w:eastAsiaTheme="minorEastAsia" w:hAnsi="Cambria Math" w:cs="Times New Roman"/>
          </w:rPr>
          <m:t>=105.76</m:t>
        </m:r>
      </m:oMath>
      <w:r w:rsidRPr="00204055">
        <w:rPr>
          <w:rFonts w:ascii="Times New Roman" w:eastAsiaTheme="minorEastAsia" w:hAnsi="Times New Roman" w:cs="Times New Roman"/>
        </w:rPr>
        <w:t xml:space="preserve">). Second, we tested the null joint hypothesis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:kappa=</m:t>
        </m:r>
        <m:func>
          <m:funcPr>
            <m:ctrlPr>
              <w:rPr>
                <w:rFonts w:ascii="Cambria Math" w:hAnsi="Cambria Math" w:cs="Times New Roman"/>
              </w:rPr>
            </m:ctrlPr>
          </m:funcPr>
          <m:fName>
            <m:r>
              <m:rPr>
                <m:sty m:val="p"/>
              </m:rPr>
              <w:rPr>
                <w:rFonts w:ascii="Cambria Math" w:hAnsi="Cambria Math" w:cs="Times New Roman"/>
              </w:rPr>
              <m:t>ln</m:t>
            </m:r>
            <m:ctrlPr>
              <w:rPr>
                <w:rFonts w:ascii="Cambria Math" w:hAnsi="Cambria Math" w:cs="Times New Roman"/>
                <w:i/>
              </w:rPr>
            </m:ctrlPr>
          </m:fName>
          <m:e>
            <m:d>
              <m:dPr>
                <m:ctrlPr>
                  <w:rPr>
                    <w:rFonts w:ascii="Cambria Math" w:hAnsi="Cambria Math" w:cs="Times New Roman"/>
                    <w:i/>
                  </w:rPr>
                </m:ctrlPr>
              </m:dPr>
              <m:e>
                <m:r>
                  <w:rPr>
                    <w:rFonts w:ascii="Cambria Math" w:hAnsi="Cambria Math" w:cs="Times New Roman"/>
                  </w:rPr>
                  <m:t>σ</m:t>
                </m:r>
              </m:e>
            </m:d>
          </m:e>
        </m:func>
        <m:r>
          <w:rPr>
            <w:rFonts w:ascii="Cambria Math" w:hAnsi="Cambria Math" w:cs="Times New Roman"/>
          </w:rPr>
          <m:t>=1</m:t>
        </m:r>
      </m:oMath>
      <w:r w:rsidRPr="00204055">
        <w:rPr>
          <w:rFonts w:ascii="Times New Roman" w:eastAsiaTheme="minorEastAsia" w:hAnsi="Times New Roman" w:cs="Times New Roman"/>
        </w:rPr>
        <w:t xml:space="preserve"> to test for the exponential distribution and rejected it at 99% confidence level (</w:t>
      </w:r>
      <m:oMath>
        <m:sSup>
          <m:sSupPr>
            <m:ctrlPr>
              <w:rPr>
                <w:rFonts w:ascii="Cambria Math" w:eastAsiaTheme="minorEastAsia" w:hAnsi="Cambria Math" w:cs="Times New Roman"/>
                <w:i/>
              </w:rPr>
            </m:ctrlPr>
          </m:sSupPr>
          <m:e>
            <m:r>
              <m:rPr>
                <m:sty m:val="p"/>
              </m:rPr>
              <w:rPr>
                <w:rFonts w:ascii="Cambria Math" w:eastAsiaTheme="minorEastAsia" w:hAnsi="Cambria Math" w:cs="Times New Roman"/>
              </w:rPr>
              <m:t>χ</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2</m:t>
            </m:r>
          </m:e>
        </m:d>
        <m:r>
          <w:rPr>
            <w:rFonts w:ascii="Cambria Math" w:eastAsiaTheme="minorEastAsia" w:hAnsi="Cambria Math" w:cs="Times New Roman"/>
          </w:rPr>
          <m:t>=8,865.68</m:t>
        </m:r>
      </m:oMath>
      <w:r w:rsidRPr="00204055">
        <w:rPr>
          <w:rFonts w:ascii="Times New Roman" w:eastAsiaTheme="minorEastAsia" w:hAnsi="Times New Roman" w:cs="Times New Roman"/>
        </w:rPr>
        <w:t xml:space="preserve">. Finally we tested the null hypothesis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:kappa=0</m:t>
        </m:r>
      </m:oMath>
      <w:r w:rsidRPr="00204055">
        <w:rPr>
          <w:rFonts w:ascii="Times New Roman" w:eastAsiaTheme="minorEastAsia" w:hAnsi="Times New Roman" w:cs="Times New Roman"/>
        </w:rPr>
        <w:t xml:space="preserve"> to test for lognormal distribution and could not reject the hypothesis</w:t>
      </w:r>
      <m:oMath>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m:rPr>
                <m:sty m:val="p"/>
              </m:rPr>
              <w:rPr>
                <w:rFonts w:ascii="Cambria Math" w:eastAsiaTheme="minorEastAsia" w:hAnsi="Cambria Math" w:cs="Times New Roman"/>
              </w:rPr>
              <m:t>χ</m:t>
            </m:r>
          </m:e>
          <m:sup>
            <m:r>
              <w:rPr>
                <w:rFonts w:ascii="Cambria Math" w:eastAsiaTheme="minorEastAsia" w:hAnsi="Cambria Math" w:cs="Times New Roman"/>
              </w:rPr>
              <m:t>2</m:t>
            </m:r>
          </m:sup>
        </m:sSup>
        <m:d>
          <m:dPr>
            <m:ctrlPr>
              <w:rPr>
                <w:rFonts w:ascii="Cambria Math" w:eastAsiaTheme="minorEastAsia" w:hAnsi="Cambria Math" w:cs="Times New Roman"/>
                <w:i/>
              </w:rPr>
            </m:ctrlPr>
          </m:dPr>
          <m:e>
            <m:r>
              <w:rPr>
                <w:rFonts w:ascii="Cambria Math" w:eastAsiaTheme="minorEastAsia" w:hAnsi="Cambria Math" w:cs="Times New Roman"/>
              </w:rPr>
              <m:t>1</m:t>
            </m:r>
          </m:e>
        </m:d>
        <m:r>
          <w:rPr>
            <w:rFonts w:ascii="Cambria Math" w:eastAsiaTheme="minorEastAsia" w:hAnsi="Cambria Math" w:cs="Times New Roman"/>
          </w:rPr>
          <m:t>=0.22)</m:t>
        </m:r>
      </m:oMath>
      <w:r w:rsidRPr="00204055">
        <w:rPr>
          <w:rFonts w:ascii="Times New Roman" w:eastAsiaTheme="minorEastAsia" w:hAnsi="Times New Roman" w:cs="Times New Roman"/>
        </w:rPr>
        <w:t>; therefore, we estimated the model assuming time follows a lognormal distribution.</w:t>
      </w:r>
    </w:p>
  </w:endnote>
  <w:endnote w:id="47">
    <w:p w14:paraId="729254E1" w14:textId="77777777" w:rsidR="00554406" w:rsidRPr="00204055" w:rsidRDefault="00554406" w:rsidP="00204055">
      <w:pPr>
        <w:pStyle w:val="Heading1"/>
        <w:shd w:val="clear" w:color="auto" w:fill="FFFFFF"/>
        <w:spacing w:before="0" w:beforeAutospacing="0" w:after="0" w:afterAutospacing="0"/>
        <w:jc w:val="both"/>
        <w:textAlignment w:val="baseline"/>
        <w:rPr>
          <w:b w:val="0"/>
          <w:sz w:val="20"/>
          <w:szCs w:val="20"/>
          <w:lang w:val="en-US"/>
        </w:rPr>
      </w:pPr>
      <w:r w:rsidRPr="00204055">
        <w:rPr>
          <w:rStyle w:val="EndnoteReference"/>
          <w:b w:val="0"/>
          <w:sz w:val="20"/>
          <w:szCs w:val="20"/>
        </w:rPr>
        <w:endnoteRef/>
      </w:r>
      <w:r w:rsidRPr="00204055">
        <w:rPr>
          <w:b w:val="0"/>
          <w:sz w:val="20"/>
          <w:szCs w:val="20"/>
          <w:lang w:val="en-US"/>
        </w:rPr>
        <w:t xml:space="preserve"> </w:t>
      </w:r>
      <w:r w:rsidRPr="00204055">
        <w:rPr>
          <w:b w:val="0"/>
          <w:sz w:val="20"/>
          <w:szCs w:val="20"/>
          <w:bdr w:val="none" w:sz="0" w:space="0" w:color="auto" w:frame="1"/>
          <w:lang w:val="en-US"/>
        </w:rPr>
        <w:t>Eisenberg and</w:t>
      </w:r>
      <w:r w:rsidRPr="00204055">
        <w:rPr>
          <w:rStyle w:val="apple-converted-space"/>
          <w:b w:val="0"/>
          <w:color w:val="222222"/>
          <w:sz w:val="20"/>
          <w:szCs w:val="20"/>
          <w:shd w:val="clear" w:color="auto" w:fill="FFFFFF"/>
          <w:lang w:val="en-US"/>
        </w:rPr>
        <w:t> </w:t>
      </w:r>
      <w:r w:rsidRPr="00204055">
        <w:rPr>
          <w:b w:val="0"/>
          <w:sz w:val="20"/>
          <w:szCs w:val="20"/>
          <w:bdr w:val="none" w:sz="0" w:space="0" w:color="auto" w:frame="1"/>
          <w:lang w:val="en-US"/>
        </w:rPr>
        <w:t>Huang</w:t>
      </w:r>
      <w:r w:rsidRPr="00204055">
        <w:rPr>
          <w:b w:val="0"/>
          <w:sz w:val="20"/>
          <w:szCs w:val="20"/>
          <w:shd w:val="clear" w:color="auto" w:fill="FFFFFF"/>
          <w:lang w:val="en-US"/>
        </w:rPr>
        <w:t xml:space="preserve"> (2012).</w:t>
      </w:r>
    </w:p>
  </w:endnote>
  <w:endnote w:id="48">
    <w:p w14:paraId="72CF2F5A"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Interview A-3.</w:t>
      </w:r>
    </w:p>
  </w:endnote>
  <w:endnote w:id="49">
    <w:p w14:paraId="11587407"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An interviewee with a more cynical view suggested that case duration reflects a bureaucratic need for self-justification. Interview A-5. Perhaps not surprisingly given the nature of </w:t>
      </w:r>
      <w:proofErr w:type="spellStart"/>
      <w:r w:rsidRPr="00204055">
        <w:rPr>
          <w:rFonts w:ascii="Times New Roman" w:hAnsi="Times New Roman" w:cs="Times New Roman"/>
        </w:rPr>
        <w:t>Acordada</w:t>
      </w:r>
      <w:proofErr w:type="spellEnd"/>
      <w:r w:rsidRPr="00204055">
        <w:rPr>
          <w:rFonts w:ascii="Times New Roman" w:hAnsi="Times New Roman" w:cs="Times New Roman"/>
        </w:rPr>
        <w:t xml:space="preserve"> 4 appeals, none of our interviewees mentioned strategic maneuvering as the reason for the lengthy average case duration. On strategic management of case duration by CSJN, see </w:t>
      </w:r>
      <w:proofErr w:type="spellStart"/>
      <w:r w:rsidRPr="00204055">
        <w:rPr>
          <w:rFonts w:ascii="Times New Roman" w:eastAsia="Times New Roman" w:hAnsi="Times New Roman" w:cs="Times New Roman"/>
        </w:rPr>
        <w:t>Kapiszewski</w:t>
      </w:r>
      <w:proofErr w:type="spellEnd"/>
      <w:r w:rsidRPr="00204055">
        <w:rPr>
          <w:rFonts w:ascii="Times New Roman" w:eastAsia="Times New Roman" w:hAnsi="Times New Roman" w:cs="Times New Roman"/>
        </w:rPr>
        <w:t xml:space="preserve"> (2006).</w:t>
      </w:r>
      <w:r w:rsidRPr="00204055">
        <w:rPr>
          <w:rFonts w:ascii="Times New Roman" w:hAnsi="Times New Roman" w:cs="Times New Roman"/>
        </w:rPr>
        <w:t xml:space="preserve">   </w:t>
      </w:r>
    </w:p>
  </w:endnote>
  <w:endnote w:id="50">
    <w:p w14:paraId="0967EC6A" w14:textId="3E35C6CA"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The average dismissal length is reported from Eisenberg &amp; Huang (2012) and covers the period 1996-2008. Even if we believed that the average case duration numbers for Labor Law and Human Rights Law cases resulted of </w:t>
      </w:r>
      <w:proofErr w:type="gramStart"/>
      <w:r w:rsidRPr="00204055">
        <w:rPr>
          <w:rFonts w:ascii="Times New Roman" w:hAnsi="Times New Roman" w:cs="Times New Roman"/>
        </w:rPr>
        <w:t>an</w:t>
      </w:r>
      <w:proofErr w:type="gramEnd"/>
      <w:r w:rsidRPr="00204055">
        <w:rPr>
          <w:rFonts w:ascii="Times New Roman" w:hAnsi="Times New Roman" w:cs="Times New Roman"/>
        </w:rPr>
        <w:t xml:space="preserve"> spurious congestion and we omitted them, the average case duration in Argentina would still compare unfavorably to its Taiwanese counter-part by a total of 16 days. Pushing the comparison further, if we restricted the analysis to the last 5 years on which Eisenberg and Huang report data, the difference would be much larger. In those five years average case duration dropped to 206 days, 35 percent faster than in Argentina.</w:t>
      </w:r>
    </w:p>
  </w:endnote>
  <w:endnote w:id="51">
    <w:p w14:paraId="6435B47B" w14:textId="65829074"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The seriatim way of managing appeals in each specialized JD was confirmed by several interviewees.</w:t>
      </w:r>
    </w:p>
  </w:endnote>
  <w:endnote w:id="52">
    <w:p w14:paraId="72E55700"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One interviewee suggested this was the reason for the increased duration in Labor Law cases. Interview A-3.</w:t>
      </w:r>
    </w:p>
  </w:endnote>
  <w:endnote w:id="53">
    <w:p w14:paraId="6347998D"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Interview A-13.</w:t>
      </w:r>
    </w:p>
  </w:endnote>
  <w:endnote w:id="54">
    <w:p w14:paraId="4CDAAE7B"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It is possible though that an appeal containing formal errors is purposely delayed if CSJN has yet to set the relevant precedent and CSJN wants to leave open the possibility of using </w:t>
      </w:r>
      <w:proofErr w:type="spellStart"/>
      <w:r w:rsidRPr="00204055">
        <w:rPr>
          <w:rFonts w:ascii="Times New Roman" w:hAnsi="Times New Roman" w:cs="Times New Roman"/>
          <w:i/>
        </w:rPr>
        <w:t>Acordada’s</w:t>
      </w:r>
      <w:proofErr w:type="spellEnd"/>
      <w:r w:rsidRPr="00204055">
        <w:rPr>
          <w:rFonts w:ascii="Times New Roman" w:hAnsi="Times New Roman" w:cs="Times New Roman"/>
        </w:rPr>
        <w:t xml:space="preserve"> exception to assure consistent results among similar cases.</w:t>
      </w:r>
    </w:p>
  </w:endnote>
  <w:endnote w:id="55">
    <w:p w14:paraId="7C6492FA"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For instance, Interview A-18. This view also confirms that our interviewees see CSJN’s function as incorporating both case based and issue based adjudication. </w:t>
      </w:r>
    </w:p>
  </w:endnote>
  <w:endnote w:id="56">
    <w:p w14:paraId="3967690C"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proofErr w:type="gramStart"/>
      <w:r w:rsidRPr="00204055">
        <w:rPr>
          <w:rFonts w:ascii="Times New Roman" w:hAnsi="Times New Roman" w:cs="Times New Roman"/>
        </w:rPr>
        <w:t>Interview A-3; A-6.</w:t>
      </w:r>
      <w:proofErr w:type="gramEnd"/>
      <w:r w:rsidRPr="00204055">
        <w:rPr>
          <w:rFonts w:ascii="Times New Roman" w:hAnsi="Times New Roman" w:cs="Times New Roman"/>
        </w:rPr>
        <w:t xml:space="preserve"> One interviewee illustrated this point by saying that </w:t>
      </w:r>
      <w:proofErr w:type="spellStart"/>
      <w:r w:rsidRPr="00204055">
        <w:rPr>
          <w:rFonts w:ascii="Times New Roman" w:hAnsi="Times New Roman" w:cs="Times New Roman"/>
          <w:i/>
        </w:rPr>
        <w:t>Acordada</w:t>
      </w:r>
      <w:proofErr w:type="spellEnd"/>
      <w:r w:rsidRPr="00204055">
        <w:rPr>
          <w:rFonts w:ascii="Times New Roman" w:hAnsi="Times New Roman" w:cs="Times New Roman"/>
        </w:rPr>
        <w:t xml:space="preserve"> is the certiorari of certiorari. Interview A-3.</w:t>
      </w:r>
    </w:p>
  </w:endnote>
  <w:endnote w:id="57">
    <w:p w14:paraId="4F35BE4F"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Interview A-13. For instance, if the appeal doesn’t bring a copy of the lower court opinion or a copy of the REX practical reasons lead CSJN officials to work only with the available scant and unverifiable information.</w:t>
      </w:r>
    </w:p>
  </w:endnote>
  <w:endnote w:id="58">
    <w:p w14:paraId="5BD2CB71" w14:textId="77777777" w:rsidR="00554406" w:rsidRPr="00204055" w:rsidRDefault="00554406" w:rsidP="00204055">
      <w:pPr>
        <w:autoSpaceDE w:val="0"/>
        <w:autoSpaceDN w:val="0"/>
        <w:adjustRightInd w:val="0"/>
        <w:spacing w:after="0" w:line="240" w:lineRule="auto"/>
        <w:rPr>
          <w:rFonts w:ascii="Times New Roman" w:hAnsi="Times New Roman" w:cs="Times New Roman"/>
          <w:sz w:val="20"/>
          <w:szCs w:val="20"/>
        </w:rPr>
      </w:pPr>
      <w:r w:rsidRPr="00204055">
        <w:rPr>
          <w:rStyle w:val="EndnoteReference"/>
          <w:rFonts w:ascii="Times New Roman" w:hAnsi="Times New Roman" w:cs="Times New Roman"/>
          <w:sz w:val="20"/>
          <w:szCs w:val="20"/>
        </w:rPr>
        <w:endnoteRef/>
      </w:r>
      <w:r w:rsidRPr="00204055">
        <w:rPr>
          <w:rFonts w:ascii="Times New Roman" w:hAnsi="Times New Roman" w:cs="Times New Roman"/>
          <w:sz w:val="20"/>
          <w:szCs w:val="20"/>
        </w:rPr>
        <w:t xml:space="preserve"> Such a balance is consistent with findings elsewhere. For the United States Supreme Court, see Lazarus (2009) (where he shows that while the number of cases heard by the United States Supreme Court has declined by half since 1980, expert advocates participation in petitions granted plenary review has increased by an order of magnitude in the same period –from 5.8% in 1980 to 55.5% in 2008).</w:t>
      </w:r>
    </w:p>
  </w:endnote>
  <w:endnote w:id="59">
    <w:p w14:paraId="40D399B9" w14:textId="77777777" w:rsidR="00554406" w:rsidRPr="00204055" w:rsidRDefault="00554406" w:rsidP="00204055">
      <w:pPr>
        <w:pStyle w:val="EndnoteText"/>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r w:rsidRPr="00204055">
        <w:rPr>
          <w:rFonts w:ascii="Times New Roman" w:hAnsi="Times New Roman" w:cs="Times New Roman"/>
          <w:bCs/>
        </w:rPr>
        <w:t xml:space="preserve">Wheeler et al (1987); </w:t>
      </w:r>
      <w:proofErr w:type="spellStart"/>
      <w:r w:rsidRPr="00204055">
        <w:rPr>
          <w:rFonts w:ascii="Times New Roman" w:hAnsi="Times New Roman" w:cs="Times New Roman"/>
          <w:bCs/>
        </w:rPr>
        <w:t>Songer</w:t>
      </w:r>
      <w:proofErr w:type="spellEnd"/>
      <w:r w:rsidRPr="00204055">
        <w:rPr>
          <w:rFonts w:ascii="Times New Roman" w:hAnsi="Times New Roman" w:cs="Times New Roman"/>
          <w:bCs/>
        </w:rPr>
        <w:t xml:space="preserve"> and  </w:t>
      </w:r>
      <w:proofErr w:type="spellStart"/>
      <w:r w:rsidRPr="00204055">
        <w:rPr>
          <w:rFonts w:ascii="Times New Roman" w:hAnsi="Times New Roman" w:cs="Times New Roman"/>
          <w:bCs/>
        </w:rPr>
        <w:t>and</w:t>
      </w:r>
      <w:proofErr w:type="spellEnd"/>
      <w:r w:rsidRPr="00204055">
        <w:rPr>
          <w:rFonts w:ascii="Times New Roman" w:hAnsi="Times New Roman" w:cs="Times New Roman"/>
          <w:bCs/>
        </w:rPr>
        <w:t xml:space="preserve"> Sheehan (1992)</w:t>
      </w:r>
    </w:p>
  </w:endnote>
  <w:endnote w:id="60">
    <w:p w14:paraId="10BD28B9" w14:textId="77777777" w:rsidR="00554406" w:rsidRPr="00204055" w:rsidRDefault="00554406" w:rsidP="00204055">
      <w:pPr>
        <w:pStyle w:val="Default"/>
        <w:rPr>
          <w:rFonts w:ascii="Times New Roman" w:hAnsi="Times New Roman" w:cs="Times New Roman"/>
          <w:sz w:val="20"/>
          <w:szCs w:val="20"/>
          <w:lang w:val="en-US"/>
        </w:rPr>
      </w:pPr>
      <w:r w:rsidRPr="00204055">
        <w:rPr>
          <w:rStyle w:val="EndnoteReference"/>
          <w:rFonts w:ascii="Times New Roman" w:hAnsi="Times New Roman" w:cs="Times New Roman"/>
          <w:sz w:val="20"/>
          <w:szCs w:val="20"/>
        </w:rPr>
        <w:endnoteRef/>
      </w:r>
      <w:r w:rsidRPr="00204055">
        <w:rPr>
          <w:rFonts w:ascii="Times New Roman" w:hAnsi="Times New Roman" w:cs="Times New Roman"/>
          <w:sz w:val="20"/>
          <w:szCs w:val="20"/>
          <w:lang w:val="en-US"/>
        </w:rPr>
        <w:t xml:space="preserve"> </w:t>
      </w:r>
      <w:proofErr w:type="spellStart"/>
      <w:r w:rsidRPr="00204055">
        <w:rPr>
          <w:rFonts w:ascii="Times New Roman" w:hAnsi="Times New Roman" w:cs="Times New Roman"/>
          <w:sz w:val="20"/>
          <w:szCs w:val="20"/>
          <w:lang w:val="en-US"/>
        </w:rPr>
        <w:t>Haynie</w:t>
      </w:r>
      <w:proofErr w:type="spellEnd"/>
      <w:r w:rsidRPr="00204055">
        <w:rPr>
          <w:rFonts w:ascii="Times New Roman" w:hAnsi="Times New Roman" w:cs="Times New Roman"/>
          <w:sz w:val="20"/>
          <w:szCs w:val="20"/>
          <w:lang w:val="en-US"/>
        </w:rPr>
        <w:t xml:space="preserve"> (1994); </w:t>
      </w:r>
      <w:proofErr w:type="spellStart"/>
      <w:r w:rsidRPr="00204055">
        <w:rPr>
          <w:rFonts w:ascii="Times New Roman" w:hAnsi="Times New Roman" w:cs="Times New Roman"/>
          <w:sz w:val="20"/>
          <w:szCs w:val="20"/>
          <w:lang w:val="en-US"/>
        </w:rPr>
        <w:t>Dotan</w:t>
      </w:r>
      <w:proofErr w:type="spellEnd"/>
      <w:r w:rsidRPr="00204055">
        <w:rPr>
          <w:rFonts w:ascii="Times New Roman" w:hAnsi="Times New Roman" w:cs="Times New Roman"/>
          <w:sz w:val="20"/>
          <w:szCs w:val="20"/>
          <w:lang w:val="en-US"/>
        </w:rPr>
        <w:t xml:space="preserve"> (1999).</w:t>
      </w:r>
    </w:p>
  </w:endnote>
  <w:endnote w:id="61">
    <w:p w14:paraId="43D004DE" w14:textId="77777777" w:rsidR="00554406" w:rsidRPr="00204055" w:rsidRDefault="00554406" w:rsidP="00204055">
      <w:pPr>
        <w:pStyle w:val="EndnoteText"/>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For an exception focusing in the Taiwanese Supreme Court, see Chen, Huang and Lin</w:t>
      </w:r>
      <w:r w:rsidRPr="00204055">
        <w:rPr>
          <w:rFonts w:ascii="Times New Roman" w:eastAsia="Times New Roman" w:hAnsi="Times New Roman" w:cs="Times New Roman"/>
          <w:color w:val="333300"/>
          <w:bdr w:val="none" w:sz="0" w:space="0" w:color="auto" w:frame="1"/>
          <w:lang w:eastAsia="es-AR"/>
        </w:rPr>
        <w:t> (2014).</w:t>
      </w:r>
    </w:p>
  </w:endnote>
  <w:endnote w:id="62">
    <w:p w14:paraId="1E579350" w14:textId="77777777" w:rsidR="00554406" w:rsidRPr="00204055" w:rsidRDefault="00554406" w:rsidP="00204055">
      <w:pPr>
        <w:pStyle w:val="EndnoteText"/>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proofErr w:type="spellStart"/>
      <w:r w:rsidRPr="00204055">
        <w:rPr>
          <w:rFonts w:ascii="Times New Roman" w:hAnsi="Times New Roman" w:cs="Times New Roman"/>
        </w:rPr>
        <w:t>Kastellec</w:t>
      </w:r>
      <w:proofErr w:type="spellEnd"/>
      <w:r w:rsidRPr="00204055">
        <w:rPr>
          <w:rFonts w:ascii="Times New Roman" w:hAnsi="Times New Roman" w:cs="Times New Roman"/>
        </w:rPr>
        <w:t xml:space="preserve"> and Lax (2008).</w:t>
      </w:r>
    </w:p>
  </w:endnote>
  <w:endnote w:id="63">
    <w:p w14:paraId="20BB35A9" w14:textId="77777777" w:rsidR="00554406" w:rsidRPr="00204055" w:rsidRDefault="00554406" w:rsidP="00204055">
      <w:pPr>
        <w:pStyle w:val="Default"/>
        <w:jc w:val="both"/>
        <w:rPr>
          <w:rFonts w:ascii="Times New Roman" w:hAnsi="Times New Roman" w:cs="Times New Roman"/>
          <w:sz w:val="20"/>
          <w:szCs w:val="20"/>
          <w:lang w:val="en-US"/>
        </w:rPr>
      </w:pPr>
      <w:r w:rsidRPr="00204055">
        <w:rPr>
          <w:rStyle w:val="EndnoteReference"/>
          <w:rFonts w:ascii="Times New Roman" w:hAnsi="Times New Roman" w:cs="Times New Roman"/>
          <w:sz w:val="20"/>
          <w:szCs w:val="20"/>
        </w:rPr>
        <w:endnoteRef/>
      </w:r>
      <w:r w:rsidRPr="00204055">
        <w:rPr>
          <w:rFonts w:ascii="Times New Roman" w:hAnsi="Times New Roman" w:cs="Times New Roman"/>
          <w:sz w:val="20"/>
          <w:szCs w:val="20"/>
          <w:lang w:val="en-US"/>
        </w:rPr>
        <w:t xml:space="preserve"> Interview A-5. The absence of prior consultation is in stark contrast to several reforms CSJN undertook after the 2001-2 crisis, suggested by a coalition of NGOs. Upon this exchange, CSJN adopted the disclosure of the circulation of case files among the different justices (</w:t>
      </w:r>
      <w:proofErr w:type="spellStart"/>
      <w:r w:rsidRPr="00204055">
        <w:rPr>
          <w:rFonts w:ascii="Times New Roman" w:hAnsi="Times New Roman" w:cs="Times New Roman"/>
          <w:i/>
          <w:sz w:val="20"/>
          <w:szCs w:val="20"/>
          <w:lang w:val="en-US"/>
        </w:rPr>
        <w:t>Acordada</w:t>
      </w:r>
      <w:proofErr w:type="spellEnd"/>
      <w:r w:rsidRPr="00204055">
        <w:rPr>
          <w:rFonts w:ascii="Times New Roman" w:hAnsi="Times New Roman" w:cs="Times New Roman"/>
          <w:i/>
          <w:sz w:val="20"/>
          <w:szCs w:val="20"/>
          <w:lang w:val="en-US"/>
        </w:rPr>
        <w:t xml:space="preserve"> 35/2003</w:t>
      </w:r>
      <w:r w:rsidRPr="00204055">
        <w:rPr>
          <w:rFonts w:ascii="Times New Roman" w:hAnsi="Times New Roman" w:cs="Times New Roman"/>
          <w:sz w:val="20"/>
          <w:szCs w:val="20"/>
          <w:lang w:val="en-US"/>
        </w:rPr>
        <w:t>), the publication in full text of its relevant verdicts (</w:t>
      </w:r>
      <w:proofErr w:type="spellStart"/>
      <w:r w:rsidRPr="00204055">
        <w:rPr>
          <w:rFonts w:ascii="Times New Roman" w:hAnsi="Times New Roman" w:cs="Times New Roman"/>
          <w:i/>
          <w:sz w:val="20"/>
          <w:szCs w:val="20"/>
          <w:lang w:val="en-US"/>
        </w:rPr>
        <w:t>Acordada</w:t>
      </w:r>
      <w:proofErr w:type="spellEnd"/>
      <w:r w:rsidRPr="00204055">
        <w:rPr>
          <w:rFonts w:ascii="Times New Roman" w:hAnsi="Times New Roman" w:cs="Times New Roman"/>
          <w:i/>
          <w:sz w:val="20"/>
          <w:szCs w:val="20"/>
          <w:lang w:val="en-US"/>
        </w:rPr>
        <w:t xml:space="preserve"> 37/2003</w:t>
      </w:r>
      <w:r w:rsidRPr="00204055">
        <w:rPr>
          <w:rFonts w:ascii="Times New Roman" w:hAnsi="Times New Roman" w:cs="Times New Roman"/>
          <w:sz w:val="20"/>
          <w:szCs w:val="20"/>
          <w:lang w:val="en-US"/>
        </w:rPr>
        <w:t>) and decided that any meeting between litigants and justices must take place in the presence of the counterpart (</w:t>
      </w:r>
      <w:proofErr w:type="spellStart"/>
      <w:r w:rsidRPr="00204055">
        <w:rPr>
          <w:rFonts w:ascii="Times New Roman" w:hAnsi="Times New Roman" w:cs="Times New Roman"/>
          <w:i/>
          <w:sz w:val="20"/>
          <w:szCs w:val="20"/>
          <w:lang w:val="en-US"/>
        </w:rPr>
        <w:t>Acordada</w:t>
      </w:r>
      <w:proofErr w:type="spellEnd"/>
      <w:r w:rsidRPr="00204055">
        <w:rPr>
          <w:rFonts w:ascii="Times New Roman" w:hAnsi="Times New Roman" w:cs="Times New Roman"/>
          <w:i/>
          <w:sz w:val="20"/>
          <w:szCs w:val="20"/>
          <w:lang w:val="en-US"/>
        </w:rPr>
        <w:t xml:space="preserve"> 7/2004</w:t>
      </w:r>
      <w:r w:rsidRPr="00204055">
        <w:rPr>
          <w:rFonts w:ascii="Times New Roman" w:hAnsi="Times New Roman" w:cs="Times New Roman"/>
          <w:sz w:val="20"/>
          <w:szCs w:val="20"/>
          <w:lang w:val="en-US"/>
        </w:rPr>
        <w:t xml:space="preserve">). </w:t>
      </w:r>
      <w:proofErr w:type="spellStart"/>
      <w:proofErr w:type="gramStart"/>
      <w:r w:rsidRPr="00204055">
        <w:rPr>
          <w:rFonts w:ascii="Times New Roman" w:hAnsi="Times New Roman" w:cs="Times New Roman"/>
          <w:sz w:val="20"/>
          <w:szCs w:val="20"/>
          <w:lang w:val="en-US"/>
        </w:rPr>
        <w:t>Ruibal</w:t>
      </w:r>
      <w:proofErr w:type="spellEnd"/>
      <w:r w:rsidRPr="00204055">
        <w:rPr>
          <w:rFonts w:ascii="Times New Roman" w:hAnsi="Times New Roman" w:cs="Times New Roman"/>
          <w:sz w:val="20"/>
          <w:szCs w:val="20"/>
          <w:lang w:val="en-US"/>
        </w:rPr>
        <w:t xml:space="preserve"> (2009).</w:t>
      </w:r>
      <w:proofErr w:type="gramEnd"/>
    </w:p>
  </w:endnote>
  <w:endnote w:id="64">
    <w:p w14:paraId="490666D1"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One interviewee mentioned the case of an appeal 800 pages long. Interview A-6.</w:t>
      </w:r>
    </w:p>
  </w:endnote>
  <w:endnote w:id="65">
    <w:p w14:paraId="15A33246"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Before the enactment of </w:t>
      </w:r>
      <w:proofErr w:type="spellStart"/>
      <w:r w:rsidRPr="00204055">
        <w:rPr>
          <w:rFonts w:ascii="Times New Roman" w:hAnsi="Times New Roman" w:cs="Times New Roman"/>
          <w:i/>
        </w:rPr>
        <w:t>Acordada</w:t>
      </w:r>
      <w:proofErr w:type="spellEnd"/>
      <w:r w:rsidRPr="00204055">
        <w:rPr>
          <w:rFonts w:ascii="Times New Roman" w:hAnsi="Times New Roman" w:cs="Times New Roman"/>
        </w:rPr>
        <w:t xml:space="preserve">, CSJN clerks would ask appellants to remediate any failure to comply with the existing appeal requirements. Interview A-18. </w:t>
      </w:r>
    </w:p>
  </w:endnote>
  <w:endnote w:id="66">
    <w:p w14:paraId="30CC72CF"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The rule mandates the Supreme Court Clerk to return the petition with a letter indicating its deficiency. A corrected petition can then be filed within 60 days. This is especially relevant since a couple of interviewees mentioned that the US rules served as inspiration for </w:t>
      </w:r>
      <w:proofErr w:type="spellStart"/>
      <w:r w:rsidRPr="00204055">
        <w:rPr>
          <w:rFonts w:ascii="Times New Roman" w:hAnsi="Times New Roman" w:cs="Times New Roman"/>
          <w:i/>
        </w:rPr>
        <w:t>Acordada</w:t>
      </w:r>
      <w:proofErr w:type="spellEnd"/>
      <w:r w:rsidRPr="00204055">
        <w:rPr>
          <w:rFonts w:ascii="Times New Roman" w:hAnsi="Times New Roman" w:cs="Times New Roman"/>
        </w:rPr>
        <w:t xml:space="preserve">. </w:t>
      </w:r>
      <w:proofErr w:type="gramStart"/>
      <w:r w:rsidRPr="00204055">
        <w:rPr>
          <w:rFonts w:ascii="Times New Roman" w:hAnsi="Times New Roman" w:cs="Times New Roman"/>
        </w:rPr>
        <w:t>Interviews A-6; A-3.</w:t>
      </w:r>
      <w:proofErr w:type="gramEnd"/>
    </w:p>
  </w:endnote>
  <w:endnote w:id="67">
    <w:p w14:paraId="2E5D3EB3"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For instance, Interview A-9.</w:t>
      </w:r>
    </w:p>
  </w:endnote>
  <w:endnote w:id="68">
    <w:p w14:paraId="4A3B2827" w14:textId="77777777" w:rsidR="00554406" w:rsidRPr="00204055" w:rsidRDefault="00554406" w:rsidP="00204055">
      <w:pPr>
        <w:pStyle w:val="EndnoteText"/>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During the 2002-06 </w:t>
      </w:r>
      <w:proofErr w:type="gramStart"/>
      <w:r w:rsidRPr="00204055">
        <w:rPr>
          <w:rFonts w:ascii="Times New Roman" w:hAnsi="Times New Roman" w:cs="Times New Roman"/>
        </w:rPr>
        <w:t>period</w:t>
      </w:r>
      <w:proofErr w:type="gramEnd"/>
      <w:r w:rsidRPr="00204055">
        <w:rPr>
          <w:rFonts w:ascii="Times New Roman" w:hAnsi="Times New Roman" w:cs="Times New Roman"/>
        </w:rPr>
        <w:t xml:space="preserve">, CSJN received on average more than 25000 appeals. </w:t>
      </w:r>
    </w:p>
  </w:endnote>
  <w:endnote w:id="69">
    <w:p w14:paraId="5A8032D0"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One interviewee estimated the number of appeals in CSJN to have reached 250000. Interview A-3.</w:t>
      </w:r>
    </w:p>
  </w:endnote>
  <w:endnote w:id="70">
    <w:p w14:paraId="032A3CD1" w14:textId="77777777" w:rsidR="00554406" w:rsidRPr="00204055" w:rsidRDefault="00554406" w:rsidP="00204055">
      <w:pPr>
        <w:pStyle w:val="Heading3"/>
        <w:shd w:val="clear" w:color="auto" w:fill="FFFFFF"/>
        <w:spacing w:before="0" w:line="240" w:lineRule="auto"/>
        <w:jc w:val="both"/>
        <w:rPr>
          <w:rFonts w:ascii="Times New Roman" w:hAnsi="Times New Roman" w:cs="Times New Roman"/>
          <w:b w:val="0"/>
          <w:color w:val="auto"/>
          <w:sz w:val="20"/>
          <w:szCs w:val="20"/>
        </w:rPr>
      </w:pPr>
      <w:r w:rsidRPr="00204055">
        <w:rPr>
          <w:rStyle w:val="EndnoteReference"/>
          <w:rFonts w:ascii="Times New Roman" w:hAnsi="Times New Roman" w:cs="Times New Roman"/>
          <w:b w:val="0"/>
          <w:color w:val="auto"/>
          <w:sz w:val="20"/>
          <w:szCs w:val="20"/>
        </w:rPr>
        <w:endnoteRef/>
      </w:r>
      <w:r w:rsidRPr="00204055">
        <w:rPr>
          <w:rFonts w:ascii="Times New Roman" w:hAnsi="Times New Roman" w:cs="Times New Roman"/>
          <w:b w:val="0"/>
          <w:color w:val="auto"/>
          <w:sz w:val="20"/>
          <w:szCs w:val="20"/>
        </w:rPr>
        <w:t xml:space="preserve"> Interview A-15. For a similar claim, see </w:t>
      </w:r>
      <w:r w:rsidRPr="00204055">
        <w:rPr>
          <w:rFonts w:ascii="Times New Roman" w:hAnsi="Times New Roman" w:cs="Times New Roman"/>
          <w:b w:val="0"/>
          <w:bCs w:val="0"/>
          <w:color w:val="auto"/>
          <w:sz w:val="20"/>
          <w:szCs w:val="20"/>
          <w:shd w:val="clear" w:color="auto" w:fill="FFFFFF"/>
        </w:rPr>
        <w:t xml:space="preserve">Valentin </w:t>
      </w:r>
      <w:proofErr w:type="spellStart"/>
      <w:r w:rsidRPr="00204055">
        <w:rPr>
          <w:rFonts w:ascii="Times New Roman" w:hAnsi="Times New Roman" w:cs="Times New Roman"/>
          <w:b w:val="0"/>
          <w:bCs w:val="0"/>
          <w:color w:val="auto"/>
          <w:sz w:val="20"/>
          <w:szCs w:val="20"/>
          <w:shd w:val="clear" w:color="auto" w:fill="FFFFFF"/>
        </w:rPr>
        <w:t>Thury</w:t>
      </w:r>
      <w:proofErr w:type="spellEnd"/>
      <w:r w:rsidRPr="00204055">
        <w:rPr>
          <w:rFonts w:ascii="Times New Roman" w:hAnsi="Times New Roman" w:cs="Times New Roman"/>
          <w:b w:val="0"/>
          <w:bCs w:val="0"/>
          <w:color w:val="auto"/>
          <w:sz w:val="20"/>
          <w:szCs w:val="20"/>
          <w:shd w:val="clear" w:color="auto" w:fill="FFFFFF"/>
        </w:rPr>
        <w:t>-Cornejo (</w:t>
      </w:r>
      <w:r w:rsidRPr="00204055">
        <w:rPr>
          <w:rFonts w:ascii="Times New Roman" w:hAnsi="Times New Roman" w:cs="Times New Roman"/>
          <w:b w:val="0"/>
          <w:color w:val="auto"/>
          <w:sz w:val="20"/>
          <w:szCs w:val="20"/>
        </w:rPr>
        <w:t xml:space="preserve">2011). </w:t>
      </w:r>
    </w:p>
  </w:endnote>
  <w:endnote w:id="71">
    <w:p w14:paraId="066BDCF2" w14:textId="77777777" w:rsidR="00554406" w:rsidRPr="00204055" w:rsidRDefault="00554406" w:rsidP="00204055">
      <w:pPr>
        <w:pStyle w:val="EndnoteText"/>
        <w:jc w:val="both"/>
        <w:rPr>
          <w:rFonts w:ascii="Times New Roman" w:hAnsi="Times New Roman" w:cs="Times New Roman"/>
          <w:lang w:val="es-AR"/>
        </w:rPr>
      </w:pPr>
      <w:r w:rsidRPr="00204055">
        <w:rPr>
          <w:rStyle w:val="EndnoteReference"/>
          <w:rFonts w:ascii="Times New Roman" w:hAnsi="Times New Roman" w:cs="Times New Roman"/>
        </w:rPr>
        <w:endnoteRef/>
      </w:r>
      <w:r w:rsidRPr="00204055">
        <w:rPr>
          <w:rFonts w:ascii="Times New Roman" w:hAnsi="Times New Roman" w:cs="Times New Roman"/>
          <w:lang w:val="es-AR"/>
        </w:rPr>
        <w:t xml:space="preserve"> </w:t>
      </w:r>
      <w:r w:rsidRPr="00204055">
        <w:rPr>
          <w:rFonts w:ascii="Times New Roman" w:hAnsi="Times New Roman" w:cs="Times New Roman"/>
          <w:i/>
          <w:noProof/>
          <w:lang w:val="es-AR"/>
        </w:rPr>
        <w:t>Massa, Juan Augustín v. Poder Ejecutivo National – Decreto No. 1.570/01 / amparo,</w:t>
      </w:r>
      <w:r w:rsidRPr="00204055">
        <w:rPr>
          <w:rFonts w:ascii="Times New Roman" w:hAnsi="Times New Roman" w:cs="Times New Roman"/>
          <w:noProof/>
          <w:lang w:val="es-AR"/>
        </w:rPr>
        <w:t xml:space="preserve"> J.A. (2007-I-187).</w:t>
      </w:r>
    </w:p>
  </w:endnote>
  <w:endnote w:id="72">
    <w:p w14:paraId="7307DA2C"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In fact, it is in December of 2006 that we start to see a decline in the number of appeals filed to CSJN. </w:t>
      </w:r>
    </w:p>
  </w:endnote>
  <w:endnote w:id="73">
    <w:p w14:paraId="0F49CBE7"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proofErr w:type="spellStart"/>
      <w:proofErr w:type="gramStart"/>
      <w:r w:rsidRPr="00204055">
        <w:rPr>
          <w:rFonts w:ascii="Times New Roman" w:hAnsi="Times New Roman" w:cs="Times New Roman"/>
        </w:rPr>
        <w:t>Acordada</w:t>
      </w:r>
      <w:proofErr w:type="spellEnd"/>
      <w:r w:rsidRPr="00204055">
        <w:rPr>
          <w:rFonts w:ascii="Times New Roman" w:hAnsi="Times New Roman" w:cs="Times New Roman"/>
        </w:rPr>
        <w:t xml:space="preserve"> 2/2207, available online at http://www.infoleg.gov.ar/infolegInternet/anexos/125000-129999/125009/norma.htm.</w:t>
      </w:r>
      <w:proofErr w:type="gramEnd"/>
    </w:p>
  </w:endnote>
  <w:endnote w:id="74">
    <w:p w14:paraId="1D202646"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Interview A-15.</w:t>
      </w:r>
    </w:p>
  </w:endnote>
  <w:endnote w:id="75">
    <w:p w14:paraId="75691E99" w14:textId="77777777" w:rsidR="00554406" w:rsidRPr="00204055" w:rsidRDefault="00554406" w:rsidP="00204055">
      <w:pPr>
        <w:pStyle w:val="EndnoteText"/>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In more colloquial terms, an anonymous interviewee referred to </w:t>
      </w:r>
      <w:proofErr w:type="spellStart"/>
      <w:r w:rsidRPr="00204055">
        <w:rPr>
          <w:rFonts w:ascii="Times New Roman" w:hAnsi="Times New Roman" w:cs="Times New Roman"/>
          <w:i/>
        </w:rPr>
        <w:t>Acordada</w:t>
      </w:r>
      <w:proofErr w:type="spellEnd"/>
      <w:r w:rsidRPr="00204055">
        <w:rPr>
          <w:rFonts w:ascii="Times New Roman" w:hAnsi="Times New Roman" w:cs="Times New Roman"/>
        </w:rPr>
        <w:t xml:space="preserve"> rules as “booby traps”.</w:t>
      </w:r>
    </w:p>
  </w:endnote>
  <w:endnote w:id="76">
    <w:p w14:paraId="5CC7C53F"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Interview A-13.</w:t>
      </w:r>
    </w:p>
  </w:endnote>
  <w:endnote w:id="77">
    <w:p w14:paraId="76E6F0DA"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Interview A-15.</w:t>
      </w:r>
    </w:p>
  </w:endnote>
  <w:endnote w:id="78">
    <w:p w14:paraId="14B2DBC6" w14:textId="77777777" w:rsidR="00554406" w:rsidRPr="00204055" w:rsidRDefault="00554406" w:rsidP="00204055">
      <w:pPr>
        <w:autoSpaceDE w:val="0"/>
        <w:autoSpaceDN w:val="0"/>
        <w:adjustRightInd w:val="0"/>
        <w:spacing w:after="0" w:line="240" w:lineRule="auto"/>
        <w:rPr>
          <w:rFonts w:ascii="Times New Roman" w:hAnsi="Times New Roman" w:cs="Times New Roman"/>
          <w:sz w:val="20"/>
          <w:szCs w:val="20"/>
        </w:rPr>
      </w:pPr>
      <w:r w:rsidRPr="00204055">
        <w:rPr>
          <w:rStyle w:val="EndnoteReference"/>
          <w:rFonts w:ascii="Times New Roman" w:hAnsi="Times New Roman" w:cs="Times New Roman"/>
          <w:sz w:val="20"/>
          <w:szCs w:val="20"/>
        </w:rPr>
        <w:endnoteRef/>
      </w:r>
      <w:r w:rsidRPr="00204055">
        <w:rPr>
          <w:rFonts w:ascii="Times New Roman" w:hAnsi="Times New Roman" w:cs="Times New Roman"/>
          <w:sz w:val="20"/>
          <w:szCs w:val="20"/>
        </w:rPr>
        <w:t xml:space="preserve"> This proposition was suggested also by Fontana (2011), who argued that it was an excessive use of its discretionary powers what led the Russian Constitutional Court to very low approval ratings in the early 1990’s. </w:t>
      </w:r>
    </w:p>
  </w:endnote>
  <w:endnote w:id="79">
    <w:p w14:paraId="2CA60915"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w:t>
      </w:r>
      <w:proofErr w:type="spellStart"/>
      <w:proofErr w:type="gramStart"/>
      <w:r w:rsidRPr="00204055">
        <w:rPr>
          <w:rFonts w:ascii="Times New Roman" w:eastAsia="Times New Roman" w:hAnsi="Times New Roman" w:cs="Times New Roman"/>
        </w:rPr>
        <w:t>Kapiszewski</w:t>
      </w:r>
      <w:proofErr w:type="spellEnd"/>
      <w:r w:rsidRPr="00204055">
        <w:rPr>
          <w:rFonts w:ascii="Times New Roman" w:eastAsia="Times New Roman" w:hAnsi="Times New Roman" w:cs="Times New Roman"/>
        </w:rPr>
        <w:t xml:space="preserve"> (2006).</w:t>
      </w:r>
      <w:proofErr w:type="gramEnd"/>
    </w:p>
  </w:endnote>
  <w:endnote w:id="80">
    <w:p w14:paraId="78B72F69" w14:textId="77777777" w:rsidR="00554406" w:rsidRPr="00204055" w:rsidRDefault="00554406" w:rsidP="00204055">
      <w:pPr>
        <w:pStyle w:val="EndnoteText"/>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On the issue of Supreme Court legitimacy and procedural fairness, see Baird  (2001) (finding that it is the belief among West Germans that procedures are supposed to be neutral and legalistic which leads to perceptions of Federal Constitutional Court legitimacy).   </w:t>
      </w:r>
    </w:p>
  </w:endnote>
  <w:endnote w:id="81">
    <w:p w14:paraId="26A2C59C"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Interview A-3. </w:t>
      </w:r>
    </w:p>
  </w:endnote>
  <w:endnote w:id="82">
    <w:p w14:paraId="4D83ABE4" w14:textId="77777777" w:rsidR="00554406" w:rsidRPr="00204055" w:rsidRDefault="00554406" w:rsidP="00204055">
      <w:pPr>
        <w:pStyle w:val="EndnoteText"/>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After a peak in number of appeals filed in 2005 –totaling a staggering 31234 excluding pension law cases-, the number of appeals filed steadily declines until 2009 where it stabilizes at around 9000 extraordinary appeals per year. It is likely that the decrease in the number of appeals filed started as a result of fewer cases remaining undecided concerning the forced conversion of bank US dollar deposits into Argentine pesos deposits. </w:t>
      </w:r>
    </w:p>
  </w:endnote>
  <w:endnote w:id="83">
    <w:p w14:paraId="4F6628D6"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This suggests that CSJN reversal rates have not been affected by the enactment of </w:t>
      </w:r>
      <w:proofErr w:type="spellStart"/>
      <w:r w:rsidRPr="00204055">
        <w:rPr>
          <w:rFonts w:ascii="Times New Roman" w:hAnsi="Times New Roman" w:cs="Times New Roman"/>
          <w:i/>
        </w:rPr>
        <w:t>Acordada</w:t>
      </w:r>
      <w:proofErr w:type="spellEnd"/>
      <w:r w:rsidRPr="00204055">
        <w:rPr>
          <w:rFonts w:ascii="Times New Roman" w:hAnsi="Times New Roman" w:cs="Times New Roman"/>
        </w:rPr>
        <w:t>.</w:t>
      </w:r>
    </w:p>
  </w:endnote>
  <w:endnote w:id="84">
    <w:p w14:paraId="1D397FDF" w14:textId="77777777" w:rsidR="00554406" w:rsidRPr="00204055" w:rsidRDefault="00554406" w:rsidP="00204055">
      <w:pPr>
        <w:pStyle w:val="EndnoteText"/>
        <w:jc w:val="both"/>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One interviewee even suggested that all the decisions that use a prescribed formula (such as under Article 280, </w:t>
      </w:r>
      <w:proofErr w:type="spellStart"/>
      <w:r w:rsidRPr="00204055">
        <w:rPr>
          <w:rFonts w:ascii="Times New Roman" w:hAnsi="Times New Roman" w:cs="Times New Roman"/>
          <w:i/>
        </w:rPr>
        <w:t>Acordada</w:t>
      </w:r>
      <w:proofErr w:type="spellEnd"/>
      <w:r w:rsidRPr="00204055">
        <w:rPr>
          <w:rFonts w:ascii="Times New Roman" w:hAnsi="Times New Roman" w:cs="Times New Roman"/>
        </w:rPr>
        <w:t xml:space="preserve"> or lack of autonomous reasoning) take the same amount of time to be decided. Interview A-13.</w:t>
      </w:r>
    </w:p>
  </w:endnote>
  <w:endnote w:id="85">
    <w:p w14:paraId="41EB5797" w14:textId="77777777" w:rsidR="00554406" w:rsidRPr="00204055" w:rsidRDefault="00554406" w:rsidP="00204055">
      <w:pPr>
        <w:pStyle w:val="EndnoteText"/>
        <w:rPr>
          <w:rFonts w:ascii="Times New Roman" w:hAnsi="Times New Roman" w:cs="Times New Roman"/>
        </w:rPr>
      </w:pPr>
      <w:r w:rsidRPr="00204055">
        <w:rPr>
          <w:rStyle w:val="EndnoteReference"/>
          <w:rFonts w:ascii="Times New Roman" w:hAnsi="Times New Roman" w:cs="Times New Roman"/>
        </w:rPr>
        <w:endnoteRef/>
      </w:r>
      <w:r w:rsidRPr="00204055">
        <w:rPr>
          <w:rFonts w:ascii="Times New Roman" w:hAnsi="Times New Roman" w:cs="Times New Roman"/>
        </w:rPr>
        <w:t xml:space="preserve"> Interestingly, Eisenberg and Huang (2012) found that the introduction of more discretionary powers in Taiwan –permitting to solve the cases faster- didn’t lead to more opinions be issued either. </w:t>
      </w:r>
    </w:p>
  </w:endnote>
  <w:endnote w:id="86">
    <w:p w14:paraId="7C8C23ED" w14:textId="77777777" w:rsidR="00554406" w:rsidRPr="00204055" w:rsidRDefault="00554406" w:rsidP="00204055">
      <w:pPr>
        <w:widowControl w:val="0"/>
        <w:autoSpaceDE w:val="0"/>
        <w:autoSpaceDN w:val="0"/>
        <w:adjustRightInd w:val="0"/>
        <w:spacing w:after="0" w:line="240" w:lineRule="auto"/>
        <w:rPr>
          <w:rFonts w:ascii="Times New Roman" w:hAnsi="Times New Roman" w:cs="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249558"/>
      <w:docPartObj>
        <w:docPartGallery w:val="Page Numbers (Bottom of Page)"/>
        <w:docPartUnique/>
      </w:docPartObj>
    </w:sdtPr>
    <w:sdtEndPr>
      <w:rPr>
        <w:noProof/>
      </w:rPr>
    </w:sdtEndPr>
    <w:sdtContent>
      <w:p w14:paraId="1241AE38" w14:textId="77777777" w:rsidR="00554406" w:rsidRDefault="00554406">
        <w:pPr>
          <w:pStyle w:val="Footer"/>
          <w:jc w:val="center"/>
        </w:pPr>
        <w:r>
          <w:fldChar w:fldCharType="begin"/>
        </w:r>
        <w:r>
          <w:instrText xml:space="preserve"> PAGE   \* MERGEFORMAT </w:instrText>
        </w:r>
        <w:r>
          <w:fldChar w:fldCharType="separate"/>
        </w:r>
        <w:r w:rsidR="00C750D7">
          <w:rPr>
            <w:noProof/>
          </w:rPr>
          <w:t>51</w:t>
        </w:r>
        <w:r>
          <w:rPr>
            <w:noProof/>
          </w:rPr>
          <w:fldChar w:fldCharType="end"/>
        </w:r>
      </w:p>
    </w:sdtContent>
  </w:sdt>
  <w:p w14:paraId="7CC55216" w14:textId="77777777" w:rsidR="00554406" w:rsidRDefault="00554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20B43" w14:textId="77777777" w:rsidR="00074A32" w:rsidRDefault="00074A32" w:rsidP="00A217AD">
      <w:pPr>
        <w:spacing w:after="0" w:line="240" w:lineRule="auto"/>
      </w:pPr>
      <w:r>
        <w:separator/>
      </w:r>
    </w:p>
  </w:footnote>
  <w:footnote w:type="continuationSeparator" w:id="0">
    <w:p w14:paraId="79E5D21C" w14:textId="77777777" w:rsidR="00074A32" w:rsidRDefault="00074A32" w:rsidP="00A21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0F85"/>
    <w:multiLevelType w:val="multilevel"/>
    <w:tmpl w:val="13BEC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D506AA"/>
    <w:multiLevelType w:val="hybridMultilevel"/>
    <w:tmpl w:val="84F2DBEC"/>
    <w:lvl w:ilvl="0" w:tplc="1970206E">
      <w:start w:val="7"/>
      <w:numFmt w:val="bullet"/>
      <w:lvlText w:val="-"/>
      <w:lvlJc w:val="left"/>
      <w:pPr>
        <w:ind w:left="720" w:hanging="360"/>
      </w:pPr>
      <w:rPr>
        <w:rFonts w:ascii="Garamond" w:eastAsiaTheme="minorHAnsi" w:hAnsi="Garamond"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80A6EC9"/>
    <w:multiLevelType w:val="hybridMultilevel"/>
    <w:tmpl w:val="41CED698"/>
    <w:lvl w:ilvl="0" w:tplc="137000D4">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E1F4CB7"/>
    <w:multiLevelType w:val="hybridMultilevel"/>
    <w:tmpl w:val="FC281FFC"/>
    <w:lvl w:ilvl="0" w:tplc="56267954">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AD"/>
    <w:rsid w:val="000000D8"/>
    <w:rsid w:val="000003EB"/>
    <w:rsid w:val="000004DC"/>
    <w:rsid w:val="00000801"/>
    <w:rsid w:val="00000D97"/>
    <w:rsid w:val="00000DA4"/>
    <w:rsid w:val="0000115F"/>
    <w:rsid w:val="00001821"/>
    <w:rsid w:val="00001D3A"/>
    <w:rsid w:val="00002342"/>
    <w:rsid w:val="0000259C"/>
    <w:rsid w:val="000034A9"/>
    <w:rsid w:val="00003B21"/>
    <w:rsid w:val="0000468C"/>
    <w:rsid w:val="00004F28"/>
    <w:rsid w:val="0000502B"/>
    <w:rsid w:val="000051AA"/>
    <w:rsid w:val="00006927"/>
    <w:rsid w:val="00007D5F"/>
    <w:rsid w:val="00007F3B"/>
    <w:rsid w:val="00007F4A"/>
    <w:rsid w:val="00010152"/>
    <w:rsid w:val="00010E51"/>
    <w:rsid w:val="00011330"/>
    <w:rsid w:val="00011A11"/>
    <w:rsid w:val="000122AD"/>
    <w:rsid w:val="000122B1"/>
    <w:rsid w:val="00013F96"/>
    <w:rsid w:val="00015DD7"/>
    <w:rsid w:val="000166BA"/>
    <w:rsid w:val="00016CBF"/>
    <w:rsid w:val="00017933"/>
    <w:rsid w:val="0002033A"/>
    <w:rsid w:val="00020B67"/>
    <w:rsid w:val="00021BC9"/>
    <w:rsid w:val="00022041"/>
    <w:rsid w:val="0002327A"/>
    <w:rsid w:val="00023856"/>
    <w:rsid w:val="00023AB1"/>
    <w:rsid w:val="00024534"/>
    <w:rsid w:val="00024BBE"/>
    <w:rsid w:val="00024BE8"/>
    <w:rsid w:val="00025DC6"/>
    <w:rsid w:val="000261C1"/>
    <w:rsid w:val="000271EA"/>
    <w:rsid w:val="00027773"/>
    <w:rsid w:val="00030F89"/>
    <w:rsid w:val="00031FA0"/>
    <w:rsid w:val="00032248"/>
    <w:rsid w:val="000324C5"/>
    <w:rsid w:val="00032B9E"/>
    <w:rsid w:val="00033E15"/>
    <w:rsid w:val="0003457B"/>
    <w:rsid w:val="00036CB4"/>
    <w:rsid w:val="000407DE"/>
    <w:rsid w:val="0004202D"/>
    <w:rsid w:val="00042321"/>
    <w:rsid w:val="000425EF"/>
    <w:rsid w:val="00042BF8"/>
    <w:rsid w:val="00042D0A"/>
    <w:rsid w:val="00042DED"/>
    <w:rsid w:val="00043147"/>
    <w:rsid w:val="000435C3"/>
    <w:rsid w:val="00043FFD"/>
    <w:rsid w:val="000440F2"/>
    <w:rsid w:val="000441EA"/>
    <w:rsid w:val="000443E0"/>
    <w:rsid w:val="00044B1F"/>
    <w:rsid w:val="00046264"/>
    <w:rsid w:val="0004650A"/>
    <w:rsid w:val="00047B06"/>
    <w:rsid w:val="00050A3D"/>
    <w:rsid w:val="00051D14"/>
    <w:rsid w:val="00051E00"/>
    <w:rsid w:val="000522D8"/>
    <w:rsid w:val="00053250"/>
    <w:rsid w:val="00053B73"/>
    <w:rsid w:val="0005409A"/>
    <w:rsid w:val="00054A10"/>
    <w:rsid w:val="000550B2"/>
    <w:rsid w:val="0005510D"/>
    <w:rsid w:val="00060642"/>
    <w:rsid w:val="00060A02"/>
    <w:rsid w:val="00060A22"/>
    <w:rsid w:val="0006188E"/>
    <w:rsid w:val="000621D9"/>
    <w:rsid w:val="00062787"/>
    <w:rsid w:val="00062F43"/>
    <w:rsid w:val="00062F48"/>
    <w:rsid w:val="00062F6F"/>
    <w:rsid w:val="0006380F"/>
    <w:rsid w:val="00063A96"/>
    <w:rsid w:val="00063AE2"/>
    <w:rsid w:val="00063ED2"/>
    <w:rsid w:val="00066088"/>
    <w:rsid w:val="0006664B"/>
    <w:rsid w:val="00066714"/>
    <w:rsid w:val="00066D43"/>
    <w:rsid w:val="000674FA"/>
    <w:rsid w:val="000703B5"/>
    <w:rsid w:val="000725F2"/>
    <w:rsid w:val="00072759"/>
    <w:rsid w:val="00072974"/>
    <w:rsid w:val="00072E49"/>
    <w:rsid w:val="00072FB0"/>
    <w:rsid w:val="000734FC"/>
    <w:rsid w:val="00073EC3"/>
    <w:rsid w:val="000745D4"/>
    <w:rsid w:val="00074A32"/>
    <w:rsid w:val="00074C2A"/>
    <w:rsid w:val="000756AF"/>
    <w:rsid w:val="000767BA"/>
    <w:rsid w:val="00076B63"/>
    <w:rsid w:val="00076E34"/>
    <w:rsid w:val="00077BC2"/>
    <w:rsid w:val="000826DC"/>
    <w:rsid w:val="00082868"/>
    <w:rsid w:val="000832ED"/>
    <w:rsid w:val="000834B4"/>
    <w:rsid w:val="00083E58"/>
    <w:rsid w:val="000840DE"/>
    <w:rsid w:val="000843F4"/>
    <w:rsid w:val="00084CBC"/>
    <w:rsid w:val="00085379"/>
    <w:rsid w:val="00085E56"/>
    <w:rsid w:val="00087C35"/>
    <w:rsid w:val="00087D7A"/>
    <w:rsid w:val="00087E47"/>
    <w:rsid w:val="000906F8"/>
    <w:rsid w:val="00090AC8"/>
    <w:rsid w:val="00090E18"/>
    <w:rsid w:val="000917EA"/>
    <w:rsid w:val="0009267A"/>
    <w:rsid w:val="00093027"/>
    <w:rsid w:val="00095184"/>
    <w:rsid w:val="000952A1"/>
    <w:rsid w:val="000952E7"/>
    <w:rsid w:val="000972B5"/>
    <w:rsid w:val="000979DE"/>
    <w:rsid w:val="000A05F8"/>
    <w:rsid w:val="000A1125"/>
    <w:rsid w:val="000A141E"/>
    <w:rsid w:val="000A150C"/>
    <w:rsid w:val="000A152D"/>
    <w:rsid w:val="000A1B72"/>
    <w:rsid w:val="000A2753"/>
    <w:rsid w:val="000A36E4"/>
    <w:rsid w:val="000A4B21"/>
    <w:rsid w:val="000A5191"/>
    <w:rsid w:val="000A62A4"/>
    <w:rsid w:val="000A6469"/>
    <w:rsid w:val="000A64CA"/>
    <w:rsid w:val="000A66FF"/>
    <w:rsid w:val="000A7295"/>
    <w:rsid w:val="000B125C"/>
    <w:rsid w:val="000B18F8"/>
    <w:rsid w:val="000B1DA7"/>
    <w:rsid w:val="000B3AA0"/>
    <w:rsid w:val="000B4399"/>
    <w:rsid w:val="000B469B"/>
    <w:rsid w:val="000B4D05"/>
    <w:rsid w:val="000B5761"/>
    <w:rsid w:val="000B5F03"/>
    <w:rsid w:val="000B7760"/>
    <w:rsid w:val="000C0CE0"/>
    <w:rsid w:val="000C1C9B"/>
    <w:rsid w:val="000C1DA5"/>
    <w:rsid w:val="000C271D"/>
    <w:rsid w:val="000C42B2"/>
    <w:rsid w:val="000C4C2F"/>
    <w:rsid w:val="000C4D9E"/>
    <w:rsid w:val="000C65FF"/>
    <w:rsid w:val="000C663F"/>
    <w:rsid w:val="000C751F"/>
    <w:rsid w:val="000C781E"/>
    <w:rsid w:val="000D1E0B"/>
    <w:rsid w:val="000D2E91"/>
    <w:rsid w:val="000D2F3D"/>
    <w:rsid w:val="000D310D"/>
    <w:rsid w:val="000D3298"/>
    <w:rsid w:val="000D5497"/>
    <w:rsid w:val="000D57AA"/>
    <w:rsid w:val="000D5F27"/>
    <w:rsid w:val="000D6461"/>
    <w:rsid w:val="000D6BAF"/>
    <w:rsid w:val="000D739D"/>
    <w:rsid w:val="000D76B5"/>
    <w:rsid w:val="000E019B"/>
    <w:rsid w:val="000E1036"/>
    <w:rsid w:val="000E129F"/>
    <w:rsid w:val="000E1393"/>
    <w:rsid w:val="000E1FE7"/>
    <w:rsid w:val="000E3E8D"/>
    <w:rsid w:val="000E4752"/>
    <w:rsid w:val="000E480B"/>
    <w:rsid w:val="000E4AAA"/>
    <w:rsid w:val="000E5668"/>
    <w:rsid w:val="000E59A0"/>
    <w:rsid w:val="000E658D"/>
    <w:rsid w:val="000E6A5B"/>
    <w:rsid w:val="000F01C3"/>
    <w:rsid w:val="000F054F"/>
    <w:rsid w:val="000F0B96"/>
    <w:rsid w:val="000F3B99"/>
    <w:rsid w:val="000F3D08"/>
    <w:rsid w:val="000F4CDA"/>
    <w:rsid w:val="000F517B"/>
    <w:rsid w:val="000F569F"/>
    <w:rsid w:val="000F5F9B"/>
    <w:rsid w:val="000F69F6"/>
    <w:rsid w:val="000F6B78"/>
    <w:rsid w:val="000F7254"/>
    <w:rsid w:val="000F72A2"/>
    <w:rsid w:val="000F7A20"/>
    <w:rsid w:val="000F7C3E"/>
    <w:rsid w:val="00101B09"/>
    <w:rsid w:val="0010216F"/>
    <w:rsid w:val="001025C0"/>
    <w:rsid w:val="001025CF"/>
    <w:rsid w:val="00102A81"/>
    <w:rsid w:val="00102D5B"/>
    <w:rsid w:val="00103F4C"/>
    <w:rsid w:val="00104035"/>
    <w:rsid w:val="0010479E"/>
    <w:rsid w:val="00104FB5"/>
    <w:rsid w:val="001059EA"/>
    <w:rsid w:val="00106E27"/>
    <w:rsid w:val="00106FEF"/>
    <w:rsid w:val="001076E6"/>
    <w:rsid w:val="00107C93"/>
    <w:rsid w:val="00110136"/>
    <w:rsid w:val="001103E0"/>
    <w:rsid w:val="001120D9"/>
    <w:rsid w:val="001126F5"/>
    <w:rsid w:val="001134DD"/>
    <w:rsid w:val="00113820"/>
    <w:rsid w:val="00114108"/>
    <w:rsid w:val="00114279"/>
    <w:rsid w:val="00114357"/>
    <w:rsid w:val="001143CB"/>
    <w:rsid w:val="00114A75"/>
    <w:rsid w:val="00114CE4"/>
    <w:rsid w:val="0011544D"/>
    <w:rsid w:val="001156FC"/>
    <w:rsid w:val="00117955"/>
    <w:rsid w:val="001203E9"/>
    <w:rsid w:val="001207AB"/>
    <w:rsid w:val="00120859"/>
    <w:rsid w:val="00120D07"/>
    <w:rsid w:val="00120EB8"/>
    <w:rsid w:val="00121A0E"/>
    <w:rsid w:val="001250FA"/>
    <w:rsid w:val="0012540F"/>
    <w:rsid w:val="00130A75"/>
    <w:rsid w:val="00130EFE"/>
    <w:rsid w:val="001322DB"/>
    <w:rsid w:val="00132904"/>
    <w:rsid w:val="00132B07"/>
    <w:rsid w:val="00132E7E"/>
    <w:rsid w:val="0013540E"/>
    <w:rsid w:val="00135CD4"/>
    <w:rsid w:val="001368F4"/>
    <w:rsid w:val="00136950"/>
    <w:rsid w:val="00137971"/>
    <w:rsid w:val="00137F13"/>
    <w:rsid w:val="0014091B"/>
    <w:rsid w:val="00142084"/>
    <w:rsid w:val="00143BB1"/>
    <w:rsid w:val="001442B9"/>
    <w:rsid w:val="00144656"/>
    <w:rsid w:val="00144882"/>
    <w:rsid w:val="001460B4"/>
    <w:rsid w:val="00146390"/>
    <w:rsid w:val="00147A95"/>
    <w:rsid w:val="001508C0"/>
    <w:rsid w:val="00150D35"/>
    <w:rsid w:val="00151843"/>
    <w:rsid w:val="001518E2"/>
    <w:rsid w:val="00151BB4"/>
    <w:rsid w:val="00151EAC"/>
    <w:rsid w:val="001523FC"/>
    <w:rsid w:val="001523FE"/>
    <w:rsid w:val="00152B0C"/>
    <w:rsid w:val="00152C98"/>
    <w:rsid w:val="00152F17"/>
    <w:rsid w:val="00153526"/>
    <w:rsid w:val="001540B2"/>
    <w:rsid w:val="00154109"/>
    <w:rsid w:val="00157475"/>
    <w:rsid w:val="001574B7"/>
    <w:rsid w:val="0016024E"/>
    <w:rsid w:val="00161956"/>
    <w:rsid w:val="00161FEF"/>
    <w:rsid w:val="00162915"/>
    <w:rsid w:val="00163613"/>
    <w:rsid w:val="00163B2A"/>
    <w:rsid w:val="001643AA"/>
    <w:rsid w:val="00164CF3"/>
    <w:rsid w:val="0016529E"/>
    <w:rsid w:val="00167AA6"/>
    <w:rsid w:val="00171B1B"/>
    <w:rsid w:val="00171D49"/>
    <w:rsid w:val="0017291E"/>
    <w:rsid w:val="001733BF"/>
    <w:rsid w:val="0017385B"/>
    <w:rsid w:val="00173A0E"/>
    <w:rsid w:val="00174107"/>
    <w:rsid w:val="001742CA"/>
    <w:rsid w:val="001756D3"/>
    <w:rsid w:val="00175740"/>
    <w:rsid w:val="00175D47"/>
    <w:rsid w:val="00176070"/>
    <w:rsid w:val="0017691D"/>
    <w:rsid w:val="00177C6D"/>
    <w:rsid w:val="00177D99"/>
    <w:rsid w:val="00177E10"/>
    <w:rsid w:val="00182DFB"/>
    <w:rsid w:val="0018398E"/>
    <w:rsid w:val="001839FE"/>
    <w:rsid w:val="001865B2"/>
    <w:rsid w:val="001865C2"/>
    <w:rsid w:val="0018679B"/>
    <w:rsid w:val="00186A0A"/>
    <w:rsid w:val="00186B21"/>
    <w:rsid w:val="00186D51"/>
    <w:rsid w:val="00187ADD"/>
    <w:rsid w:val="0019004A"/>
    <w:rsid w:val="0019010D"/>
    <w:rsid w:val="0019018A"/>
    <w:rsid w:val="00190B57"/>
    <w:rsid w:val="00191604"/>
    <w:rsid w:val="00191641"/>
    <w:rsid w:val="00192550"/>
    <w:rsid w:val="00192753"/>
    <w:rsid w:val="00192B62"/>
    <w:rsid w:val="001947FA"/>
    <w:rsid w:val="00195023"/>
    <w:rsid w:val="001954F7"/>
    <w:rsid w:val="0019560C"/>
    <w:rsid w:val="001962FD"/>
    <w:rsid w:val="00197396"/>
    <w:rsid w:val="00197511"/>
    <w:rsid w:val="001978A5"/>
    <w:rsid w:val="00197EA8"/>
    <w:rsid w:val="001A09D0"/>
    <w:rsid w:val="001A0ADE"/>
    <w:rsid w:val="001A18FA"/>
    <w:rsid w:val="001A1B67"/>
    <w:rsid w:val="001A255F"/>
    <w:rsid w:val="001A29A0"/>
    <w:rsid w:val="001A29CF"/>
    <w:rsid w:val="001A2B07"/>
    <w:rsid w:val="001A2C02"/>
    <w:rsid w:val="001A3B4D"/>
    <w:rsid w:val="001A4593"/>
    <w:rsid w:val="001A45A8"/>
    <w:rsid w:val="001A5D15"/>
    <w:rsid w:val="001A5D6C"/>
    <w:rsid w:val="001A6A2B"/>
    <w:rsid w:val="001A6D1E"/>
    <w:rsid w:val="001B2979"/>
    <w:rsid w:val="001B2F25"/>
    <w:rsid w:val="001B2F5A"/>
    <w:rsid w:val="001B33CE"/>
    <w:rsid w:val="001B371D"/>
    <w:rsid w:val="001B53EF"/>
    <w:rsid w:val="001B5455"/>
    <w:rsid w:val="001B57E9"/>
    <w:rsid w:val="001B5EA1"/>
    <w:rsid w:val="001B717C"/>
    <w:rsid w:val="001B7588"/>
    <w:rsid w:val="001B78A2"/>
    <w:rsid w:val="001C0114"/>
    <w:rsid w:val="001C0580"/>
    <w:rsid w:val="001C0F1F"/>
    <w:rsid w:val="001C1440"/>
    <w:rsid w:val="001C19D3"/>
    <w:rsid w:val="001C1D0C"/>
    <w:rsid w:val="001C2C5A"/>
    <w:rsid w:val="001C3964"/>
    <w:rsid w:val="001C4899"/>
    <w:rsid w:val="001C49EA"/>
    <w:rsid w:val="001C6C17"/>
    <w:rsid w:val="001C6EF0"/>
    <w:rsid w:val="001C742F"/>
    <w:rsid w:val="001C743F"/>
    <w:rsid w:val="001D01D0"/>
    <w:rsid w:val="001D04B1"/>
    <w:rsid w:val="001D0904"/>
    <w:rsid w:val="001D09B9"/>
    <w:rsid w:val="001D0B88"/>
    <w:rsid w:val="001D3156"/>
    <w:rsid w:val="001D4EBB"/>
    <w:rsid w:val="001D5105"/>
    <w:rsid w:val="001D529F"/>
    <w:rsid w:val="001D5A62"/>
    <w:rsid w:val="001D688B"/>
    <w:rsid w:val="001D6BD2"/>
    <w:rsid w:val="001D6CFC"/>
    <w:rsid w:val="001D7C05"/>
    <w:rsid w:val="001E08F0"/>
    <w:rsid w:val="001E0F90"/>
    <w:rsid w:val="001E1776"/>
    <w:rsid w:val="001E185F"/>
    <w:rsid w:val="001E1D1A"/>
    <w:rsid w:val="001E1E41"/>
    <w:rsid w:val="001E32E8"/>
    <w:rsid w:val="001E3972"/>
    <w:rsid w:val="001E3BAF"/>
    <w:rsid w:val="001E3E64"/>
    <w:rsid w:val="001E4B0C"/>
    <w:rsid w:val="001E59A4"/>
    <w:rsid w:val="001E5C78"/>
    <w:rsid w:val="001E61E3"/>
    <w:rsid w:val="001E61F9"/>
    <w:rsid w:val="001E620E"/>
    <w:rsid w:val="001E75EE"/>
    <w:rsid w:val="001F0767"/>
    <w:rsid w:val="001F0EC9"/>
    <w:rsid w:val="001F1201"/>
    <w:rsid w:val="001F1206"/>
    <w:rsid w:val="001F203E"/>
    <w:rsid w:val="001F2052"/>
    <w:rsid w:val="001F2733"/>
    <w:rsid w:val="001F4C80"/>
    <w:rsid w:val="001F4CE5"/>
    <w:rsid w:val="001F546E"/>
    <w:rsid w:val="001F6691"/>
    <w:rsid w:val="001F7865"/>
    <w:rsid w:val="001F7E2A"/>
    <w:rsid w:val="0020128B"/>
    <w:rsid w:val="00201D50"/>
    <w:rsid w:val="002022E6"/>
    <w:rsid w:val="002035B6"/>
    <w:rsid w:val="00204055"/>
    <w:rsid w:val="002061EF"/>
    <w:rsid w:val="00206270"/>
    <w:rsid w:val="00206F04"/>
    <w:rsid w:val="002071E3"/>
    <w:rsid w:val="00207713"/>
    <w:rsid w:val="0020783F"/>
    <w:rsid w:val="00207953"/>
    <w:rsid w:val="00207B67"/>
    <w:rsid w:val="00210D33"/>
    <w:rsid w:val="00211B79"/>
    <w:rsid w:val="00212350"/>
    <w:rsid w:val="0021386B"/>
    <w:rsid w:val="00213DFC"/>
    <w:rsid w:val="00214DD1"/>
    <w:rsid w:val="00215274"/>
    <w:rsid w:val="002152C2"/>
    <w:rsid w:val="002160C9"/>
    <w:rsid w:val="00216D6F"/>
    <w:rsid w:val="002205DD"/>
    <w:rsid w:val="00221496"/>
    <w:rsid w:val="00221B0B"/>
    <w:rsid w:val="00222831"/>
    <w:rsid w:val="00222E54"/>
    <w:rsid w:val="002232E6"/>
    <w:rsid w:val="00223F0F"/>
    <w:rsid w:val="002250E7"/>
    <w:rsid w:val="002252F3"/>
    <w:rsid w:val="002255BC"/>
    <w:rsid w:val="00227E61"/>
    <w:rsid w:val="00230ADA"/>
    <w:rsid w:val="00230F19"/>
    <w:rsid w:val="00232A88"/>
    <w:rsid w:val="00233125"/>
    <w:rsid w:val="002332B5"/>
    <w:rsid w:val="00234E96"/>
    <w:rsid w:val="002365E0"/>
    <w:rsid w:val="00236908"/>
    <w:rsid w:val="00236BDD"/>
    <w:rsid w:val="002379A7"/>
    <w:rsid w:val="00237D07"/>
    <w:rsid w:val="00237D42"/>
    <w:rsid w:val="002400D8"/>
    <w:rsid w:val="0024062F"/>
    <w:rsid w:val="0024092D"/>
    <w:rsid w:val="0024122F"/>
    <w:rsid w:val="00241B9D"/>
    <w:rsid w:val="00243CAE"/>
    <w:rsid w:val="002445EF"/>
    <w:rsid w:val="002452D9"/>
    <w:rsid w:val="00245545"/>
    <w:rsid w:val="00245FA9"/>
    <w:rsid w:val="00246B10"/>
    <w:rsid w:val="00246E46"/>
    <w:rsid w:val="00247FAB"/>
    <w:rsid w:val="00251FA6"/>
    <w:rsid w:val="00252802"/>
    <w:rsid w:val="00252A6A"/>
    <w:rsid w:val="00252B3A"/>
    <w:rsid w:val="002534FA"/>
    <w:rsid w:val="00253EF4"/>
    <w:rsid w:val="00254053"/>
    <w:rsid w:val="00254537"/>
    <w:rsid w:val="00254598"/>
    <w:rsid w:val="00254962"/>
    <w:rsid w:val="00254D0E"/>
    <w:rsid w:val="00254EA9"/>
    <w:rsid w:val="002550EE"/>
    <w:rsid w:val="0025555B"/>
    <w:rsid w:val="0025571A"/>
    <w:rsid w:val="00255B3F"/>
    <w:rsid w:val="00255CB7"/>
    <w:rsid w:val="00255D4A"/>
    <w:rsid w:val="002563A0"/>
    <w:rsid w:val="002574F2"/>
    <w:rsid w:val="002577A9"/>
    <w:rsid w:val="00257CA3"/>
    <w:rsid w:val="002625E4"/>
    <w:rsid w:val="00263872"/>
    <w:rsid w:val="00263ED2"/>
    <w:rsid w:val="00263FBC"/>
    <w:rsid w:val="00264BEB"/>
    <w:rsid w:val="00264FBB"/>
    <w:rsid w:val="00267454"/>
    <w:rsid w:val="00270C0D"/>
    <w:rsid w:val="002717C1"/>
    <w:rsid w:val="00271D83"/>
    <w:rsid w:val="00272183"/>
    <w:rsid w:val="00272325"/>
    <w:rsid w:val="00272566"/>
    <w:rsid w:val="002742F2"/>
    <w:rsid w:val="00274527"/>
    <w:rsid w:val="00274DB9"/>
    <w:rsid w:val="002755EA"/>
    <w:rsid w:val="002761A4"/>
    <w:rsid w:val="0027665D"/>
    <w:rsid w:val="00276B90"/>
    <w:rsid w:val="00276CA2"/>
    <w:rsid w:val="00277C7F"/>
    <w:rsid w:val="00277E18"/>
    <w:rsid w:val="002803DB"/>
    <w:rsid w:val="0028050E"/>
    <w:rsid w:val="002805A5"/>
    <w:rsid w:val="00283E07"/>
    <w:rsid w:val="00284EF2"/>
    <w:rsid w:val="00284FC8"/>
    <w:rsid w:val="00285358"/>
    <w:rsid w:val="0028666F"/>
    <w:rsid w:val="002867E3"/>
    <w:rsid w:val="00286DCE"/>
    <w:rsid w:val="00287585"/>
    <w:rsid w:val="00290445"/>
    <w:rsid w:val="00290876"/>
    <w:rsid w:val="00291003"/>
    <w:rsid w:val="0029255F"/>
    <w:rsid w:val="002927A3"/>
    <w:rsid w:val="00295119"/>
    <w:rsid w:val="00295338"/>
    <w:rsid w:val="00295658"/>
    <w:rsid w:val="00295D22"/>
    <w:rsid w:val="00295FC2"/>
    <w:rsid w:val="00296026"/>
    <w:rsid w:val="00296F04"/>
    <w:rsid w:val="00297767"/>
    <w:rsid w:val="00297CC0"/>
    <w:rsid w:val="00297E2D"/>
    <w:rsid w:val="00297E5D"/>
    <w:rsid w:val="002A0BA0"/>
    <w:rsid w:val="002A23A7"/>
    <w:rsid w:val="002A3C19"/>
    <w:rsid w:val="002A4498"/>
    <w:rsid w:val="002A4BE5"/>
    <w:rsid w:val="002A566C"/>
    <w:rsid w:val="002A5E30"/>
    <w:rsid w:val="002A6FBE"/>
    <w:rsid w:val="002B015C"/>
    <w:rsid w:val="002B2C15"/>
    <w:rsid w:val="002B2D20"/>
    <w:rsid w:val="002B3E66"/>
    <w:rsid w:val="002B4227"/>
    <w:rsid w:val="002B53EC"/>
    <w:rsid w:val="002B55BE"/>
    <w:rsid w:val="002B56BB"/>
    <w:rsid w:val="002B6B0C"/>
    <w:rsid w:val="002B6DB8"/>
    <w:rsid w:val="002B7B4E"/>
    <w:rsid w:val="002C095B"/>
    <w:rsid w:val="002C0A2C"/>
    <w:rsid w:val="002C126F"/>
    <w:rsid w:val="002C2E9B"/>
    <w:rsid w:val="002C2EEC"/>
    <w:rsid w:val="002C4BAC"/>
    <w:rsid w:val="002C651B"/>
    <w:rsid w:val="002C6AF0"/>
    <w:rsid w:val="002C7BB8"/>
    <w:rsid w:val="002D00E2"/>
    <w:rsid w:val="002D024A"/>
    <w:rsid w:val="002D036A"/>
    <w:rsid w:val="002D1786"/>
    <w:rsid w:val="002D1BE6"/>
    <w:rsid w:val="002D26A5"/>
    <w:rsid w:val="002D3E34"/>
    <w:rsid w:val="002D45C3"/>
    <w:rsid w:val="002D523A"/>
    <w:rsid w:val="002D5A6F"/>
    <w:rsid w:val="002D61DD"/>
    <w:rsid w:val="002D7267"/>
    <w:rsid w:val="002D72AE"/>
    <w:rsid w:val="002D72C8"/>
    <w:rsid w:val="002E01A4"/>
    <w:rsid w:val="002E01BC"/>
    <w:rsid w:val="002E1E91"/>
    <w:rsid w:val="002E2035"/>
    <w:rsid w:val="002E37B8"/>
    <w:rsid w:val="002E3E27"/>
    <w:rsid w:val="002E43E1"/>
    <w:rsid w:val="002E44B4"/>
    <w:rsid w:val="002E6679"/>
    <w:rsid w:val="002E6D7F"/>
    <w:rsid w:val="002E6DBE"/>
    <w:rsid w:val="002E6DC7"/>
    <w:rsid w:val="002E6E4F"/>
    <w:rsid w:val="002E70C8"/>
    <w:rsid w:val="002E72EC"/>
    <w:rsid w:val="002F1E6E"/>
    <w:rsid w:val="002F2ACA"/>
    <w:rsid w:val="002F2DEC"/>
    <w:rsid w:val="002F2FB2"/>
    <w:rsid w:val="002F3434"/>
    <w:rsid w:val="002F40B7"/>
    <w:rsid w:val="002F440B"/>
    <w:rsid w:val="002F590C"/>
    <w:rsid w:val="002F6044"/>
    <w:rsid w:val="003008F1"/>
    <w:rsid w:val="00300EDB"/>
    <w:rsid w:val="003022B4"/>
    <w:rsid w:val="003031F5"/>
    <w:rsid w:val="0030373A"/>
    <w:rsid w:val="003040D2"/>
    <w:rsid w:val="0030496A"/>
    <w:rsid w:val="00305F22"/>
    <w:rsid w:val="00306074"/>
    <w:rsid w:val="003065D7"/>
    <w:rsid w:val="003078B7"/>
    <w:rsid w:val="00310709"/>
    <w:rsid w:val="003107FD"/>
    <w:rsid w:val="0031148E"/>
    <w:rsid w:val="0031224B"/>
    <w:rsid w:val="0031227F"/>
    <w:rsid w:val="003125F2"/>
    <w:rsid w:val="00312C85"/>
    <w:rsid w:val="00314A5D"/>
    <w:rsid w:val="00314D24"/>
    <w:rsid w:val="00314FE8"/>
    <w:rsid w:val="00316859"/>
    <w:rsid w:val="00316C9A"/>
    <w:rsid w:val="003171EA"/>
    <w:rsid w:val="00317732"/>
    <w:rsid w:val="00317989"/>
    <w:rsid w:val="00321CAB"/>
    <w:rsid w:val="0032282A"/>
    <w:rsid w:val="003228B7"/>
    <w:rsid w:val="00322CBF"/>
    <w:rsid w:val="0032302D"/>
    <w:rsid w:val="003246FB"/>
    <w:rsid w:val="00324DF2"/>
    <w:rsid w:val="0032554E"/>
    <w:rsid w:val="00325D5F"/>
    <w:rsid w:val="00326143"/>
    <w:rsid w:val="00326429"/>
    <w:rsid w:val="0032701D"/>
    <w:rsid w:val="00327ADF"/>
    <w:rsid w:val="00327FFE"/>
    <w:rsid w:val="00330444"/>
    <w:rsid w:val="00333365"/>
    <w:rsid w:val="003334B2"/>
    <w:rsid w:val="00334A09"/>
    <w:rsid w:val="00334D86"/>
    <w:rsid w:val="00334E41"/>
    <w:rsid w:val="00335EE5"/>
    <w:rsid w:val="00335F77"/>
    <w:rsid w:val="003364A9"/>
    <w:rsid w:val="003375F5"/>
    <w:rsid w:val="003379FF"/>
    <w:rsid w:val="00337D57"/>
    <w:rsid w:val="00340343"/>
    <w:rsid w:val="003403BC"/>
    <w:rsid w:val="00340D9B"/>
    <w:rsid w:val="00340DC5"/>
    <w:rsid w:val="003422B5"/>
    <w:rsid w:val="00342777"/>
    <w:rsid w:val="00342D4B"/>
    <w:rsid w:val="00343C4C"/>
    <w:rsid w:val="00343DB4"/>
    <w:rsid w:val="00344340"/>
    <w:rsid w:val="003448E5"/>
    <w:rsid w:val="0034541B"/>
    <w:rsid w:val="00345471"/>
    <w:rsid w:val="00345AC4"/>
    <w:rsid w:val="003463BD"/>
    <w:rsid w:val="003472D8"/>
    <w:rsid w:val="00347AB6"/>
    <w:rsid w:val="00347D4E"/>
    <w:rsid w:val="00350489"/>
    <w:rsid w:val="00350E75"/>
    <w:rsid w:val="003514CF"/>
    <w:rsid w:val="0035177A"/>
    <w:rsid w:val="003519D9"/>
    <w:rsid w:val="003521AA"/>
    <w:rsid w:val="00352973"/>
    <w:rsid w:val="00353FE5"/>
    <w:rsid w:val="00354503"/>
    <w:rsid w:val="003545FA"/>
    <w:rsid w:val="00354730"/>
    <w:rsid w:val="00354FC9"/>
    <w:rsid w:val="003550EC"/>
    <w:rsid w:val="00355BDC"/>
    <w:rsid w:val="0035604F"/>
    <w:rsid w:val="00356C48"/>
    <w:rsid w:val="0035738F"/>
    <w:rsid w:val="003577E5"/>
    <w:rsid w:val="00357A81"/>
    <w:rsid w:val="00357EAB"/>
    <w:rsid w:val="003602F6"/>
    <w:rsid w:val="003612F5"/>
    <w:rsid w:val="00362034"/>
    <w:rsid w:val="0036204F"/>
    <w:rsid w:val="00362195"/>
    <w:rsid w:val="0036361B"/>
    <w:rsid w:val="0036527F"/>
    <w:rsid w:val="0036562D"/>
    <w:rsid w:val="00367873"/>
    <w:rsid w:val="00367A90"/>
    <w:rsid w:val="00367E69"/>
    <w:rsid w:val="0037033F"/>
    <w:rsid w:val="00370A13"/>
    <w:rsid w:val="00371CC3"/>
    <w:rsid w:val="003720EF"/>
    <w:rsid w:val="00372326"/>
    <w:rsid w:val="00372605"/>
    <w:rsid w:val="00372F37"/>
    <w:rsid w:val="003735DB"/>
    <w:rsid w:val="00373ADD"/>
    <w:rsid w:val="00373F27"/>
    <w:rsid w:val="003748DF"/>
    <w:rsid w:val="003749DD"/>
    <w:rsid w:val="00374DCD"/>
    <w:rsid w:val="00374F31"/>
    <w:rsid w:val="003750CC"/>
    <w:rsid w:val="00375DDA"/>
    <w:rsid w:val="003762B2"/>
    <w:rsid w:val="00376E47"/>
    <w:rsid w:val="0038070D"/>
    <w:rsid w:val="00381095"/>
    <w:rsid w:val="00381A20"/>
    <w:rsid w:val="00381B2E"/>
    <w:rsid w:val="00382227"/>
    <w:rsid w:val="00382C6D"/>
    <w:rsid w:val="00383E33"/>
    <w:rsid w:val="00385B8F"/>
    <w:rsid w:val="00385ED1"/>
    <w:rsid w:val="0038645D"/>
    <w:rsid w:val="003872F0"/>
    <w:rsid w:val="003872F6"/>
    <w:rsid w:val="00390E85"/>
    <w:rsid w:val="0039120C"/>
    <w:rsid w:val="00391BF0"/>
    <w:rsid w:val="0039258E"/>
    <w:rsid w:val="0039308E"/>
    <w:rsid w:val="00393C0D"/>
    <w:rsid w:val="00394A8C"/>
    <w:rsid w:val="00394F8F"/>
    <w:rsid w:val="00395AFF"/>
    <w:rsid w:val="00395C24"/>
    <w:rsid w:val="003A05F6"/>
    <w:rsid w:val="003A06CE"/>
    <w:rsid w:val="003A2CF6"/>
    <w:rsid w:val="003A2D39"/>
    <w:rsid w:val="003A3771"/>
    <w:rsid w:val="003A48AF"/>
    <w:rsid w:val="003A4BA9"/>
    <w:rsid w:val="003A7211"/>
    <w:rsid w:val="003A7B54"/>
    <w:rsid w:val="003A7BD7"/>
    <w:rsid w:val="003B0627"/>
    <w:rsid w:val="003B0763"/>
    <w:rsid w:val="003B0DC3"/>
    <w:rsid w:val="003B0F35"/>
    <w:rsid w:val="003B101C"/>
    <w:rsid w:val="003B117B"/>
    <w:rsid w:val="003B134F"/>
    <w:rsid w:val="003B1460"/>
    <w:rsid w:val="003B1710"/>
    <w:rsid w:val="003B1716"/>
    <w:rsid w:val="003B18A7"/>
    <w:rsid w:val="003B2771"/>
    <w:rsid w:val="003B43C9"/>
    <w:rsid w:val="003B44B2"/>
    <w:rsid w:val="003B4638"/>
    <w:rsid w:val="003B7860"/>
    <w:rsid w:val="003B79E2"/>
    <w:rsid w:val="003B7B10"/>
    <w:rsid w:val="003B7DC8"/>
    <w:rsid w:val="003C02E1"/>
    <w:rsid w:val="003C0AEF"/>
    <w:rsid w:val="003C0B1B"/>
    <w:rsid w:val="003C1E15"/>
    <w:rsid w:val="003C2500"/>
    <w:rsid w:val="003C28D7"/>
    <w:rsid w:val="003C2912"/>
    <w:rsid w:val="003C2AB4"/>
    <w:rsid w:val="003C319C"/>
    <w:rsid w:val="003C3AAD"/>
    <w:rsid w:val="003C3F23"/>
    <w:rsid w:val="003C46F3"/>
    <w:rsid w:val="003C4879"/>
    <w:rsid w:val="003C4BAF"/>
    <w:rsid w:val="003C5098"/>
    <w:rsid w:val="003C5924"/>
    <w:rsid w:val="003C5B08"/>
    <w:rsid w:val="003C5C73"/>
    <w:rsid w:val="003C70F8"/>
    <w:rsid w:val="003D0183"/>
    <w:rsid w:val="003D0A61"/>
    <w:rsid w:val="003D0BCE"/>
    <w:rsid w:val="003D10D1"/>
    <w:rsid w:val="003D12EC"/>
    <w:rsid w:val="003D1714"/>
    <w:rsid w:val="003D1A4C"/>
    <w:rsid w:val="003D1E8E"/>
    <w:rsid w:val="003D28B6"/>
    <w:rsid w:val="003D3B97"/>
    <w:rsid w:val="003D41F4"/>
    <w:rsid w:val="003D4931"/>
    <w:rsid w:val="003D4D1E"/>
    <w:rsid w:val="003D4DE0"/>
    <w:rsid w:val="003D55A1"/>
    <w:rsid w:val="003D57F4"/>
    <w:rsid w:val="003D5EE4"/>
    <w:rsid w:val="003D6485"/>
    <w:rsid w:val="003D657D"/>
    <w:rsid w:val="003D6903"/>
    <w:rsid w:val="003D6ADD"/>
    <w:rsid w:val="003D72F3"/>
    <w:rsid w:val="003D7D68"/>
    <w:rsid w:val="003D7F88"/>
    <w:rsid w:val="003E052F"/>
    <w:rsid w:val="003E19E5"/>
    <w:rsid w:val="003E1AF0"/>
    <w:rsid w:val="003E1B6F"/>
    <w:rsid w:val="003E209F"/>
    <w:rsid w:val="003E26AB"/>
    <w:rsid w:val="003E3059"/>
    <w:rsid w:val="003E333B"/>
    <w:rsid w:val="003E3C77"/>
    <w:rsid w:val="003E3CD3"/>
    <w:rsid w:val="003E4D77"/>
    <w:rsid w:val="003E549C"/>
    <w:rsid w:val="003E5F4E"/>
    <w:rsid w:val="003E6930"/>
    <w:rsid w:val="003E6AE1"/>
    <w:rsid w:val="003E73C4"/>
    <w:rsid w:val="003E7DCE"/>
    <w:rsid w:val="003F130B"/>
    <w:rsid w:val="003F1E34"/>
    <w:rsid w:val="003F1FA6"/>
    <w:rsid w:val="003F23AD"/>
    <w:rsid w:val="003F2DA0"/>
    <w:rsid w:val="003F47B0"/>
    <w:rsid w:val="003F48E5"/>
    <w:rsid w:val="003F509C"/>
    <w:rsid w:val="003F56D4"/>
    <w:rsid w:val="003F595F"/>
    <w:rsid w:val="003F5EB1"/>
    <w:rsid w:val="003F6F97"/>
    <w:rsid w:val="003F7951"/>
    <w:rsid w:val="0040076D"/>
    <w:rsid w:val="004009AB"/>
    <w:rsid w:val="004013D2"/>
    <w:rsid w:val="004020A2"/>
    <w:rsid w:val="00402EBD"/>
    <w:rsid w:val="00403E35"/>
    <w:rsid w:val="004040DA"/>
    <w:rsid w:val="004047FB"/>
    <w:rsid w:val="00404A4E"/>
    <w:rsid w:val="00404C86"/>
    <w:rsid w:val="0040521F"/>
    <w:rsid w:val="00405A21"/>
    <w:rsid w:val="00405C5C"/>
    <w:rsid w:val="00406EBF"/>
    <w:rsid w:val="00407329"/>
    <w:rsid w:val="004073CC"/>
    <w:rsid w:val="00407898"/>
    <w:rsid w:val="004079D0"/>
    <w:rsid w:val="00407A64"/>
    <w:rsid w:val="00411382"/>
    <w:rsid w:val="00411844"/>
    <w:rsid w:val="0041243F"/>
    <w:rsid w:val="004125C7"/>
    <w:rsid w:val="00413698"/>
    <w:rsid w:val="0041379B"/>
    <w:rsid w:val="00413806"/>
    <w:rsid w:val="004148C3"/>
    <w:rsid w:val="00414AD5"/>
    <w:rsid w:val="0041540D"/>
    <w:rsid w:val="00415AFE"/>
    <w:rsid w:val="00416020"/>
    <w:rsid w:val="004164B8"/>
    <w:rsid w:val="00416868"/>
    <w:rsid w:val="00416D5B"/>
    <w:rsid w:val="004170DF"/>
    <w:rsid w:val="0041753D"/>
    <w:rsid w:val="00417C4E"/>
    <w:rsid w:val="00417CA5"/>
    <w:rsid w:val="00420630"/>
    <w:rsid w:val="00420678"/>
    <w:rsid w:val="00420680"/>
    <w:rsid w:val="004210C5"/>
    <w:rsid w:val="0042142A"/>
    <w:rsid w:val="004214D8"/>
    <w:rsid w:val="00421E0C"/>
    <w:rsid w:val="0042243B"/>
    <w:rsid w:val="0042328D"/>
    <w:rsid w:val="00423330"/>
    <w:rsid w:val="00423599"/>
    <w:rsid w:val="00423B83"/>
    <w:rsid w:val="004248BD"/>
    <w:rsid w:val="00426299"/>
    <w:rsid w:val="004262D8"/>
    <w:rsid w:val="004264FA"/>
    <w:rsid w:val="00426790"/>
    <w:rsid w:val="004269D1"/>
    <w:rsid w:val="00427217"/>
    <w:rsid w:val="00427735"/>
    <w:rsid w:val="00427C75"/>
    <w:rsid w:val="004303F6"/>
    <w:rsid w:val="0043043A"/>
    <w:rsid w:val="00430B4C"/>
    <w:rsid w:val="00430E62"/>
    <w:rsid w:val="00431488"/>
    <w:rsid w:val="00431BB3"/>
    <w:rsid w:val="0043256D"/>
    <w:rsid w:val="00432FAE"/>
    <w:rsid w:val="00433832"/>
    <w:rsid w:val="00433C89"/>
    <w:rsid w:val="00433CAB"/>
    <w:rsid w:val="00435416"/>
    <w:rsid w:val="0043577A"/>
    <w:rsid w:val="00435C13"/>
    <w:rsid w:val="004371E5"/>
    <w:rsid w:val="0043725B"/>
    <w:rsid w:val="0043741E"/>
    <w:rsid w:val="0044042B"/>
    <w:rsid w:val="00440999"/>
    <w:rsid w:val="00440A8B"/>
    <w:rsid w:val="00440CBC"/>
    <w:rsid w:val="00442022"/>
    <w:rsid w:val="00442922"/>
    <w:rsid w:val="0044294E"/>
    <w:rsid w:val="00443023"/>
    <w:rsid w:val="00443814"/>
    <w:rsid w:val="0044383B"/>
    <w:rsid w:val="00444575"/>
    <w:rsid w:val="004450CB"/>
    <w:rsid w:val="00445119"/>
    <w:rsid w:val="0044560E"/>
    <w:rsid w:val="004459BD"/>
    <w:rsid w:val="00446442"/>
    <w:rsid w:val="00447917"/>
    <w:rsid w:val="00450268"/>
    <w:rsid w:val="0045099F"/>
    <w:rsid w:val="00450E84"/>
    <w:rsid w:val="00452103"/>
    <w:rsid w:val="004528D6"/>
    <w:rsid w:val="00453C29"/>
    <w:rsid w:val="004554EB"/>
    <w:rsid w:val="00455F81"/>
    <w:rsid w:val="004564C8"/>
    <w:rsid w:val="004572C6"/>
    <w:rsid w:val="004575D7"/>
    <w:rsid w:val="0045773E"/>
    <w:rsid w:val="00457D37"/>
    <w:rsid w:val="00457DCC"/>
    <w:rsid w:val="004602D3"/>
    <w:rsid w:val="00461766"/>
    <w:rsid w:val="00461D8E"/>
    <w:rsid w:val="00461EAE"/>
    <w:rsid w:val="00462763"/>
    <w:rsid w:val="004627E3"/>
    <w:rsid w:val="004627F7"/>
    <w:rsid w:val="00462CBE"/>
    <w:rsid w:val="00462F3B"/>
    <w:rsid w:val="004637A5"/>
    <w:rsid w:val="00463D70"/>
    <w:rsid w:val="00463E1A"/>
    <w:rsid w:val="004646E0"/>
    <w:rsid w:val="00464B3C"/>
    <w:rsid w:val="00464BA5"/>
    <w:rsid w:val="00465307"/>
    <w:rsid w:val="0046568D"/>
    <w:rsid w:val="004666D1"/>
    <w:rsid w:val="00467773"/>
    <w:rsid w:val="00467C19"/>
    <w:rsid w:val="00470E97"/>
    <w:rsid w:val="004717F9"/>
    <w:rsid w:val="0047325C"/>
    <w:rsid w:val="00473459"/>
    <w:rsid w:val="00473B94"/>
    <w:rsid w:val="00474276"/>
    <w:rsid w:val="004767D2"/>
    <w:rsid w:val="00480831"/>
    <w:rsid w:val="0048083A"/>
    <w:rsid w:val="00482020"/>
    <w:rsid w:val="00482A68"/>
    <w:rsid w:val="00483319"/>
    <w:rsid w:val="004854A0"/>
    <w:rsid w:val="004856C3"/>
    <w:rsid w:val="00486F2E"/>
    <w:rsid w:val="00486F7F"/>
    <w:rsid w:val="004872BD"/>
    <w:rsid w:val="00487430"/>
    <w:rsid w:val="00490270"/>
    <w:rsid w:val="00490375"/>
    <w:rsid w:val="00490D8F"/>
    <w:rsid w:val="00490E5C"/>
    <w:rsid w:val="0049136D"/>
    <w:rsid w:val="004918F2"/>
    <w:rsid w:val="004925C6"/>
    <w:rsid w:val="00494246"/>
    <w:rsid w:val="004946FD"/>
    <w:rsid w:val="0049486D"/>
    <w:rsid w:val="004948FD"/>
    <w:rsid w:val="00496CCB"/>
    <w:rsid w:val="00497746"/>
    <w:rsid w:val="004A052D"/>
    <w:rsid w:val="004A0AA2"/>
    <w:rsid w:val="004A23CA"/>
    <w:rsid w:val="004A39A3"/>
    <w:rsid w:val="004A585A"/>
    <w:rsid w:val="004A60CE"/>
    <w:rsid w:val="004A6116"/>
    <w:rsid w:val="004A658A"/>
    <w:rsid w:val="004A6B75"/>
    <w:rsid w:val="004A7301"/>
    <w:rsid w:val="004A77F5"/>
    <w:rsid w:val="004B0BDF"/>
    <w:rsid w:val="004B1ED8"/>
    <w:rsid w:val="004B3332"/>
    <w:rsid w:val="004B3A71"/>
    <w:rsid w:val="004B4108"/>
    <w:rsid w:val="004B53C5"/>
    <w:rsid w:val="004B5553"/>
    <w:rsid w:val="004B6653"/>
    <w:rsid w:val="004B68A7"/>
    <w:rsid w:val="004B69FB"/>
    <w:rsid w:val="004B73FF"/>
    <w:rsid w:val="004B7B45"/>
    <w:rsid w:val="004C0636"/>
    <w:rsid w:val="004C1145"/>
    <w:rsid w:val="004C2B18"/>
    <w:rsid w:val="004C303E"/>
    <w:rsid w:val="004C33F9"/>
    <w:rsid w:val="004C3EFC"/>
    <w:rsid w:val="004C4520"/>
    <w:rsid w:val="004C5582"/>
    <w:rsid w:val="004C5B41"/>
    <w:rsid w:val="004C5C23"/>
    <w:rsid w:val="004C6A4A"/>
    <w:rsid w:val="004C7089"/>
    <w:rsid w:val="004C732D"/>
    <w:rsid w:val="004D0D70"/>
    <w:rsid w:val="004D16D7"/>
    <w:rsid w:val="004D1D3C"/>
    <w:rsid w:val="004D220E"/>
    <w:rsid w:val="004D423C"/>
    <w:rsid w:val="004D478D"/>
    <w:rsid w:val="004D50AA"/>
    <w:rsid w:val="004D5533"/>
    <w:rsid w:val="004D5B79"/>
    <w:rsid w:val="004D5D80"/>
    <w:rsid w:val="004D62D2"/>
    <w:rsid w:val="004D67F6"/>
    <w:rsid w:val="004D6D73"/>
    <w:rsid w:val="004D7207"/>
    <w:rsid w:val="004D7B71"/>
    <w:rsid w:val="004D7D4C"/>
    <w:rsid w:val="004D7D74"/>
    <w:rsid w:val="004E1B1B"/>
    <w:rsid w:val="004E39EF"/>
    <w:rsid w:val="004E3C91"/>
    <w:rsid w:val="004E53DB"/>
    <w:rsid w:val="004E647B"/>
    <w:rsid w:val="004E6668"/>
    <w:rsid w:val="004E72D3"/>
    <w:rsid w:val="004E72DE"/>
    <w:rsid w:val="004F034B"/>
    <w:rsid w:val="004F04F2"/>
    <w:rsid w:val="004F09EA"/>
    <w:rsid w:val="004F140D"/>
    <w:rsid w:val="004F2530"/>
    <w:rsid w:val="004F2BC0"/>
    <w:rsid w:val="004F331F"/>
    <w:rsid w:val="004F424F"/>
    <w:rsid w:val="004F46E7"/>
    <w:rsid w:val="004F4E62"/>
    <w:rsid w:val="004F5BDB"/>
    <w:rsid w:val="004F6B6D"/>
    <w:rsid w:val="004F71FC"/>
    <w:rsid w:val="004F761D"/>
    <w:rsid w:val="00501C3D"/>
    <w:rsid w:val="00501DE8"/>
    <w:rsid w:val="00502876"/>
    <w:rsid w:val="0050311C"/>
    <w:rsid w:val="00503322"/>
    <w:rsid w:val="00504793"/>
    <w:rsid w:val="005057B9"/>
    <w:rsid w:val="005058A3"/>
    <w:rsid w:val="00506030"/>
    <w:rsid w:val="00506205"/>
    <w:rsid w:val="005069D8"/>
    <w:rsid w:val="00506AAF"/>
    <w:rsid w:val="00506DBD"/>
    <w:rsid w:val="00511FCC"/>
    <w:rsid w:val="005124CB"/>
    <w:rsid w:val="005135D8"/>
    <w:rsid w:val="005136D0"/>
    <w:rsid w:val="00514DB3"/>
    <w:rsid w:val="00514DB7"/>
    <w:rsid w:val="0051584D"/>
    <w:rsid w:val="00515BD3"/>
    <w:rsid w:val="00515BF2"/>
    <w:rsid w:val="00516435"/>
    <w:rsid w:val="005165DB"/>
    <w:rsid w:val="0051757A"/>
    <w:rsid w:val="00517DCB"/>
    <w:rsid w:val="00517E4F"/>
    <w:rsid w:val="005203D9"/>
    <w:rsid w:val="005224C5"/>
    <w:rsid w:val="0052254F"/>
    <w:rsid w:val="00522A74"/>
    <w:rsid w:val="00522C69"/>
    <w:rsid w:val="005230E0"/>
    <w:rsid w:val="005232E5"/>
    <w:rsid w:val="005238E9"/>
    <w:rsid w:val="00524860"/>
    <w:rsid w:val="005252D5"/>
    <w:rsid w:val="00526036"/>
    <w:rsid w:val="00526125"/>
    <w:rsid w:val="0053035A"/>
    <w:rsid w:val="005304B8"/>
    <w:rsid w:val="0053159B"/>
    <w:rsid w:val="00532275"/>
    <w:rsid w:val="005322AB"/>
    <w:rsid w:val="0053281F"/>
    <w:rsid w:val="00533A4D"/>
    <w:rsid w:val="00534CE3"/>
    <w:rsid w:val="00537158"/>
    <w:rsid w:val="00540C94"/>
    <w:rsid w:val="00540DE6"/>
    <w:rsid w:val="00541570"/>
    <w:rsid w:val="00542B9B"/>
    <w:rsid w:val="00542F8A"/>
    <w:rsid w:val="00543BBC"/>
    <w:rsid w:val="00543DCC"/>
    <w:rsid w:val="00544110"/>
    <w:rsid w:val="005442B2"/>
    <w:rsid w:val="00545DDC"/>
    <w:rsid w:val="005461EB"/>
    <w:rsid w:val="00546227"/>
    <w:rsid w:val="00546695"/>
    <w:rsid w:val="00546740"/>
    <w:rsid w:val="00546952"/>
    <w:rsid w:val="00546E6C"/>
    <w:rsid w:val="00547024"/>
    <w:rsid w:val="0054776C"/>
    <w:rsid w:val="00547B6C"/>
    <w:rsid w:val="00547C01"/>
    <w:rsid w:val="005509B4"/>
    <w:rsid w:val="00550BD2"/>
    <w:rsid w:val="00550C69"/>
    <w:rsid w:val="00550F86"/>
    <w:rsid w:val="0055163D"/>
    <w:rsid w:val="00551BEE"/>
    <w:rsid w:val="00551C15"/>
    <w:rsid w:val="00553180"/>
    <w:rsid w:val="0055366F"/>
    <w:rsid w:val="00553AC3"/>
    <w:rsid w:val="00553EBD"/>
    <w:rsid w:val="00554406"/>
    <w:rsid w:val="00556B6A"/>
    <w:rsid w:val="00557B0F"/>
    <w:rsid w:val="00557DA3"/>
    <w:rsid w:val="00560544"/>
    <w:rsid w:val="005621D5"/>
    <w:rsid w:val="0056250A"/>
    <w:rsid w:val="00563365"/>
    <w:rsid w:val="005637F1"/>
    <w:rsid w:val="00563818"/>
    <w:rsid w:val="005639E8"/>
    <w:rsid w:val="00563FFC"/>
    <w:rsid w:val="00564CD5"/>
    <w:rsid w:val="00564D5E"/>
    <w:rsid w:val="00564F1F"/>
    <w:rsid w:val="00566151"/>
    <w:rsid w:val="00566344"/>
    <w:rsid w:val="005676B6"/>
    <w:rsid w:val="00567C12"/>
    <w:rsid w:val="0057049C"/>
    <w:rsid w:val="00570A9F"/>
    <w:rsid w:val="00570BB0"/>
    <w:rsid w:val="00571F77"/>
    <w:rsid w:val="00573061"/>
    <w:rsid w:val="00573EB9"/>
    <w:rsid w:val="0057611C"/>
    <w:rsid w:val="00576DD6"/>
    <w:rsid w:val="00576E03"/>
    <w:rsid w:val="00576EA3"/>
    <w:rsid w:val="00577501"/>
    <w:rsid w:val="00580091"/>
    <w:rsid w:val="00580A97"/>
    <w:rsid w:val="00581A5B"/>
    <w:rsid w:val="00582629"/>
    <w:rsid w:val="00582A87"/>
    <w:rsid w:val="005835D8"/>
    <w:rsid w:val="00583A46"/>
    <w:rsid w:val="00583CA4"/>
    <w:rsid w:val="0058435C"/>
    <w:rsid w:val="005845A6"/>
    <w:rsid w:val="00584E38"/>
    <w:rsid w:val="00586E6C"/>
    <w:rsid w:val="00586F24"/>
    <w:rsid w:val="0059051B"/>
    <w:rsid w:val="005915B5"/>
    <w:rsid w:val="00591B56"/>
    <w:rsid w:val="00593784"/>
    <w:rsid w:val="00593ACF"/>
    <w:rsid w:val="0059550E"/>
    <w:rsid w:val="005955C6"/>
    <w:rsid w:val="00596832"/>
    <w:rsid w:val="00596AAD"/>
    <w:rsid w:val="00597224"/>
    <w:rsid w:val="00597AEB"/>
    <w:rsid w:val="00597CD6"/>
    <w:rsid w:val="005A091D"/>
    <w:rsid w:val="005A17C5"/>
    <w:rsid w:val="005A26EF"/>
    <w:rsid w:val="005A34AD"/>
    <w:rsid w:val="005A3939"/>
    <w:rsid w:val="005A446F"/>
    <w:rsid w:val="005A49AA"/>
    <w:rsid w:val="005A5D5A"/>
    <w:rsid w:val="005A6DF9"/>
    <w:rsid w:val="005A7BC1"/>
    <w:rsid w:val="005A7F57"/>
    <w:rsid w:val="005B0790"/>
    <w:rsid w:val="005B1866"/>
    <w:rsid w:val="005B2F48"/>
    <w:rsid w:val="005B5903"/>
    <w:rsid w:val="005B5F4B"/>
    <w:rsid w:val="005B6907"/>
    <w:rsid w:val="005B6915"/>
    <w:rsid w:val="005B6B6B"/>
    <w:rsid w:val="005B7172"/>
    <w:rsid w:val="005B75D3"/>
    <w:rsid w:val="005C0227"/>
    <w:rsid w:val="005C130A"/>
    <w:rsid w:val="005C14F3"/>
    <w:rsid w:val="005C18F0"/>
    <w:rsid w:val="005C2A3F"/>
    <w:rsid w:val="005C2A41"/>
    <w:rsid w:val="005C2AFF"/>
    <w:rsid w:val="005C2CD9"/>
    <w:rsid w:val="005C4B2F"/>
    <w:rsid w:val="005C4EF1"/>
    <w:rsid w:val="005C4F95"/>
    <w:rsid w:val="005C5470"/>
    <w:rsid w:val="005C5A07"/>
    <w:rsid w:val="005C5BB8"/>
    <w:rsid w:val="005C642A"/>
    <w:rsid w:val="005C6988"/>
    <w:rsid w:val="005C6ECA"/>
    <w:rsid w:val="005C7038"/>
    <w:rsid w:val="005C72AE"/>
    <w:rsid w:val="005D08E7"/>
    <w:rsid w:val="005D0D30"/>
    <w:rsid w:val="005D16B3"/>
    <w:rsid w:val="005D442F"/>
    <w:rsid w:val="005D5445"/>
    <w:rsid w:val="005D6800"/>
    <w:rsid w:val="005E1396"/>
    <w:rsid w:val="005E3348"/>
    <w:rsid w:val="005E344A"/>
    <w:rsid w:val="005E44D3"/>
    <w:rsid w:val="005E6362"/>
    <w:rsid w:val="005E7CE1"/>
    <w:rsid w:val="005E7DF0"/>
    <w:rsid w:val="005F02F5"/>
    <w:rsid w:val="005F0853"/>
    <w:rsid w:val="005F08B1"/>
    <w:rsid w:val="005F0A78"/>
    <w:rsid w:val="005F0F51"/>
    <w:rsid w:val="005F12B9"/>
    <w:rsid w:val="005F13F2"/>
    <w:rsid w:val="005F1695"/>
    <w:rsid w:val="005F26E5"/>
    <w:rsid w:val="005F36B6"/>
    <w:rsid w:val="005F43A0"/>
    <w:rsid w:val="005F4BEA"/>
    <w:rsid w:val="005F4EB4"/>
    <w:rsid w:val="005F5CD8"/>
    <w:rsid w:val="005F6010"/>
    <w:rsid w:val="005F6712"/>
    <w:rsid w:val="005F6936"/>
    <w:rsid w:val="005F6D18"/>
    <w:rsid w:val="005F725C"/>
    <w:rsid w:val="005F7748"/>
    <w:rsid w:val="005F7F28"/>
    <w:rsid w:val="006003C3"/>
    <w:rsid w:val="0060070E"/>
    <w:rsid w:val="0060085B"/>
    <w:rsid w:val="00600E7B"/>
    <w:rsid w:val="006012E5"/>
    <w:rsid w:val="00602DA8"/>
    <w:rsid w:val="00602E79"/>
    <w:rsid w:val="00602FFC"/>
    <w:rsid w:val="0060362B"/>
    <w:rsid w:val="00604993"/>
    <w:rsid w:val="00604D2B"/>
    <w:rsid w:val="00605623"/>
    <w:rsid w:val="00606169"/>
    <w:rsid w:val="00606842"/>
    <w:rsid w:val="00606966"/>
    <w:rsid w:val="00606CB7"/>
    <w:rsid w:val="0060702B"/>
    <w:rsid w:val="006078CB"/>
    <w:rsid w:val="00607924"/>
    <w:rsid w:val="00607D37"/>
    <w:rsid w:val="00611703"/>
    <w:rsid w:val="006119E4"/>
    <w:rsid w:val="006128A6"/>
    <w:rsid w:val="00612D05"/>
    <w:rsid w:val="00612DF5"/>
    <w:rsid w:val="006134C4"/>
    <w:rsid w:val="00613FDA"/>
    <w:rsid w:val="006142B5"/>
    <w:rsid w:val="0061473E"/>
    <w:rsid w:val="006147AD"/>
    <w:rsid w:val="00615BBA"/>
    <w:rsid w:val="00615E78"/>
    <w:rsid w:val="00616D87"/>
    <w:rsid w:val="006170A8"/>
    <w:rsid w:val="00620655"/>
    <w:rsid w:val="00620875"/>
    <w:rsid w:val="006219B4"/>
    <w:rsid w:val="006223F2"/>
    <w:rsid w:val="00623015"/>
    <w:rsid w:val="00623383"/>
    <w:rsid w:val="006237F3"/>
    <w:rsid w:val="006243F0"/>
    <w:rsid w:val="00624485"/>
    <w:rsid w:val="00624517"/>
    <w:rsid w:val="00624D5C"/>
    <w:rsid w:val="00625F97"/>
    <w:rsid w:val="006260E8"/>
    <w:rsid w:val="00626550"/>
    <w:rsid w:val="00626CA7"/>
    <w:rsid w:val="00627313"/>
    <w:rsid w:val="0063090F"/>
    <w:rsid w:val="00630CE3"/>
    <w:rsid w:val="00630EDC"/>
    <w:rsid w:val="00630F19"/>
    <w:rsid w:val="00632020"/>
    <w:rsid w:val="006331EF"/>
    <w:rsid w:val="00633FF9"/>
    <w:rsid w:val="00636539"/>
    <w:rsid w:val="00636E4A"/>
    <w:rsid w:val="006372DE"/>
    <w:rsid w:val="006378A3"/>
    <w:rsid w:val="00637D07"/>
    <w:rsid w:val="00640B5F"/>
    <w:rsid w:val="00640F3B"/>
    <w:rsid w:val="006419FE"/>
    <w:rsid w:val="006431FB"/>
    <w:rsid w:val="00643749"/>
    <w:rsid w:val="00643A88"/>
    <w:rsid w:val="00643FD1"/>
    <w:rsid w:val="00644214"/>
    <w:rsid w:val="00644356"/>
    <w:rsid w:val="006443E0"/>
    <w:rsid w:val="00644C69"/>
    <w:rsid w:val="00645008"/>
    <w:rsid w:val="00645368"/>
    <w:rsid w:val="006455BA"/>
    <w:rsid w:val="00646101"/>
    <w:rsid w:val="006461E4"/>
    <w:rsid w:val="00646307"/>
    <w:rsid w:val="00646711"/>
    <w:rsid w:val="00646FE5"/>
    <w:rsid w:val="00647B5F"/>
    <w:rsid w:val="00647CED"/>
    <w:rsid w:val="00650349"/>
    <w:rsid w:val="00650D85"/>
    <w:rsid w:val="0065100B"/>
    <w:rsid w:val="00651640"/>
    <w:rsid w:val="006519B0"/>
    <w:rsid w:val="00651A4C"/>
    <w:rsid w:val="006522A5"/>
    <w:rsid w:val="00652C47"/>
    <w:rsid w:val="00653254"/>
    <w:rsid w:val="006538AD"/>
    <w:rsid w:val="00653BCE"/>
    <w:rsid w:val="00653DF2"/>
    <w:rsid w:val="00657475"/>
    <w:rsid w:val="00657730"/>
    <w:rsid w:val="00660569"/>
    <w:rsid w:val="00661581"/>
    <w:rsid w:val="00661790"/>
    <w:rsid w:val="00661895"/>
    <w:rsid w:val="00661B18"/>
    <w:rsid w:val="00662125"/>
    <w:rsid w:val="006626D1"/>
    <w:rsid w:val="00663282"/>
    <w:rsid w:val="00663875"/>
    <w:rsid w:val="00663C28"/>
    <w:rsid w:val="00663F22"/>
    <w:rsid w:val="00665C0E"/>
    <w:rsid w:val="00665C27"/>
    <w:rsid w:val="00665F35"/>
    <w:rsid w:val="00666A11"/>
    <w:rsid w:val="00666AF1"/>
    <w:rsid w:val="00667787"/>
    <w:rsid w:val="0067082F"/>
    <w:rsid w:val="00671B68"/>
    <w:rsid w:val="006724AC"/>
    <w:rsid w:val="006733D4"/>
    <w:rsid w:val="0067396A"/>
    <w:rsid w:val="0067627F"/>
    <w:rsid w:val="00676B64"/>
    <w:rsid w:val="00680351"/>
    <w:rsid w:val="0068385F"/>
    <w:rsid w:val="006839CB"/>
    <w:rsid w:val="00685AC7"/>
    <w:rsid w:val="00686EAB"/>
    <w:rsid w:val="006874E6"/>
    <w:rsid w:val="00687C49"/>
    <w:rsid w:val="006909B1"/>
    <w:rsid w:val="00690F4B"/>
    <w:rsid w:val="00690F99"/>
    <w:rsid w:val="00691372"/>
    <w:rsid w:val="006915D4"/>
    <w:rsid w:val="00693B87"/>
    <w:rsid w:val="00693D1F"/>
    <w:rsid w:val="006948C6"/>
    <w:rsid w:val="006951E1"/>
    <w:rsid w:val="00695369"/>
    <w:rsid w:val="0069561D"/>
    <w:rsid w:val="006956FE"/>
    <w:rsid w:val="00695C59"/>
    <w:rsid w:val="0069609D"/>
    <w:rsid w:val="006978F4"/>
    <w:rsid w:val="00697BEB"/>
    <w:rsid w:val="006A03BC"/>
    <w:rsid w:val="006A0A9A"/>
    <w:rsid w:val="006A0CD1"/>
    <w:rsid w:val="006A30A3"/>
    <w:rsid w:val="006A36BA"/>
    <w:rsid w:val="006A4BA9"/>
    <w:rsid w:val="006A4E8F"/>
    <w:rsid w:val="006A58CF"/>
    <w:rsid w:val="006A6342"/>
    <w:rsid w:val="006A67B3"/>
    <w:rsid w:val="006A710F"/>
    <w:rsid w:val="006A7801"/>
    <w:rsid w:val="006B01FF"/>
    <w:rsid w:val="006B07B3"/>
    <w:rsid w:val="006B0DD8"/>
    <w:rsid w:val="006B1616"/>
    <w:rsid w:val="006B19FA"/>
    <w:rsid w:val="006B224B"/>
    <w:rsid w:val="006B2667"/>
    <w:rsid w:val="006B2D29"/>
    <w:rsid w:val="006B303C"/>
    <w:rsid w:val="006B3167"/>
    <w:rsid w:val="006B4FDA"/>
    <w:rsid w:val="006B6F66"/>
    <w:rsid w:val="006B7362"/>
    <w:rsid w:val="006B755E"/>
    <w:rsid w:val="006C0676"/>
    <w:rsid w:val="006C08FD"/>
    <w:rsid w:val="006C0D18"/>
    <w:rsid w:val="006C20C2"/>
    <w:rsid w:val="006C24F9"/>
    <w:rsid w:val="006C2E99"/>
    <w:rsid w:val="006C312E"/>
    <w:rsid w:val="006C32CC"/>
    <w:rsid w:val="006C36C2"/>
    <w:rsid w:val="006C44C1"/>
    <w:rsid w:val="006C5466"/>
    <w:rsid w:val="006C5B49"/>
    <w:rsid w:val="006C5C94"/>
    <w:rsid w:val="006C76CA"/>
    <w:rsid w:val="006D167D"/>
    <w:rsid w:val="006D2998"/>
    <w:rsid w:val="006D2CED"/>
    <w:rsid w:val="006D3543"/>
    <w:rsid w:val="006D4981"/>
    <w:rsid w:val="006D4BD3"/>
    <w:rsid w:val="006D51E4"/>
    <w:rsid w:val="006D54CD"/>
    <w:rsid w:val="006D54E0"/>
    <w:rsid w:val="006D54F8"/>
    <w:rsid w:val="006D55DF"/>
    <w:rsid w:val="006D6AAF"/>
    <w:rsid w:val="006D7451"/>
    <w:rsid w:val="006D7B96"/>
    <w:rsid w:val="006E127A"/>
    <w:rsid w:val="006E1706"/>
    <w:rsid w:val="006E1BEC"/>
    <w:rsid w:val="006E1C3B"/>
    <w:rsid w:val="006E1D4E"/>
    <w:rsid w:val="006E347B"/>
    <w:rsid w:val="006E3CB1"/>
    <w:rsid w:val="006E419E"/>
    <w:rsid w:val="006E440E"/>
    <w:rsid w:val="006E4C1E"/>
    <w:rsid w:val="006E5F67"/>
    <w:rsid w:val="006E7525"/>
    <w:rsid w:val="006F0ACF"/>
    <w:rsid w:val="006F130F"/>
    <w:rsid w:val="006F166C"/>
    <w:rsid w:val="006F2CD1"/>
    <w:rsid w:val="006F2CF6"/>
    <w:rsid w:val="006F31C5"/>
    <w:rsid w:val="006F3FA1"/>
    <w:rsid w:val="006F518E"/>
    <w:rsid w:val="006F535C"/>
    <w:rsid w:val="006F545D"/>
    <w:rsid w:val="006F6B40"/>
    <w:rsid w:val="00700162"/>
    <w:rsid w:val="007003D6"/>
    <w:rsid w:val="0070061F"/>
    <w:rsid w:val="00700B69"/>
    <w:rsid w:val="007014AD"/>
    <w:rsid w:val="00701B96"/>
    <w:rsid w:val="0070221E"/>
    <w:rsid w:val="00703104"/>
    <w:rsid w:val="007040B0"/>
    <w:rsid w:val="0070467E"/>
    <w:rsid w:val="00704CCD"/>
    <w:rsid w:val="00704D1F"/>
    <w:rsid w:val="00704E4E"/>
    <w:rsid w:val="007059F4"/>
    <w:rsid w:val="00705BBF"/>
    <w:rsid w:val="007068DE"/>
    <w:rsid w:val="00706C00"/>
    <w:rsid w:val="00706CF8"/>
    <w:rsid w:val="00706D5D"/>
    <w:rsid w:val="007070CB"/>
    <w:rsid w:val="00707361"/>
    <w:rsid w:val="007113DE"/>
    <w:rsid w:val="007116BE"/>
    <w:rsid w:val="00711BF0"/>
    <w:rsid w:val="00711D6A"/>
    <w:rsid w:val="007139AF"/>
    <w:rsid w:val="00713BE1"/>
    <w:rsid w:val="00713E1D"/>
    <w:rsid w:val="0071402B"/>
    <w:rsid w:val="00715037"/>
    <w:rsid w:val="00715213"/>
    <w:rsid w:val="00715F8E"/>
    <w:rsid w:val="0071604D"/>
    <w:rsid w:val="00716920"/>
    <w:rsid w:val="0071732A"/>
    <w:rsid w:val="00717636"/>
    <w:rsid w:val="0072088E"/>
    <w:rsid w:val="00722A5C"/>
    <w:rsid w:val="00723024"/>
    <w:rsid w:val="00725683"/>
    <w:rsid w:val="00725716"/>
    <w:rsid w:val="00725D7C"/>
    <w:rsid w:val="007266C5"/>
    <w:rsid w:val="007267DF"/>
    <w:rsid w:val="007274B3"/>
    <w:rsid w:val="007303F6"/>
    <w:rsid w:val="00730A78"/>
    <w:rsid w:val="00731280"/>
    <w:rsid w:val="00731D14"/>
    <w:rsid w:val="00731FFE"/>
    <w:rsid w:val="00732BDB"/>
    <w:rsid w:val="00732F85"/>
    <w:rsid w:val="00733D81"/>
    <w:rsid w:val="00734E3F"/>
    <w:rsid w:val="007353A9"/>
    <w:rsid w:val="00735779"/>
    <w:rsid w:val="00735BFF"/>
    <w:rsid w:val="00736244"/>
    <w:rsid w:val="007362D1"/>
    <w:rsid w:val="00737DA8"/>
    <w:rsid w:val="00737E40"/>
    <w:rsid w:val="00737F7A"/>
    <w:rsid w:val="00740751"/>
    <w:rsid w:val="00740C57"/>
    <w:rsid w:val="00741D04"/>
    <w:rsid w:val="0074235D"/>
    <w:rsid w:val="00742C5F"/>
    <w:rsid w:val="00742F7D"/>
    <w:rsid w:val="00742F90"/>
    <w:rsid w:val="00743A65"/>
    <w:rsid w:val="00744266"/>
    <w:rsid w:val="007465FE"/>
    <w:rsid w:val="00746886"/>
    <w:rsid w:val="0074701B"/>
    <w:rsid w:val="00747233"/>
    <w:rsid w:val="0074739C"/>
    <w:rsid w:val="00747827"/>
    <w:rsid w:val="00747904"/>
    <w:rsid w:val="00747F23"/>
    <w:rsid w:val="007511EA"/>
    <w:rsid w:val="0075234D"/>
    <w:rsid w:val="00753F1A"/>
    <w:rsid w:val="00754AE6"/>
    <w:rsid w:val="00754F44"/>
    <w:rsid w:val="00755651"/>
    <w:rsid w:val="00755F38"/>
    <w:rsid w:val="00756000"/>
    <w:rsid w:val="00756916"/>
    <w:rsid w:val="007575D0"/>
    <w:rsid w:val="007601EF"/>
    <w:rsid w:val="00760339"/>
    <w:rsid w:val="00760740"/>
    <w:rsid w:val="00760D97"/>
    <w:rsid w:val="0076172C"/>
    <w:rsid w:val="00762A92"/>
    <w:rsid w:val="00763AA2"/>
    <w:rsid w:val="00763CDD"/>
    <w:rsid w:val="00764DCC"/>
    <w:rsid w:val="00765521"/>
    <w:rsid w:val="007657EB"/>
    <w:rsid w:val="007665B5"/>
    <w:rsid w:val="00766DCC"/>
    <w:rsid w:val="00766FEC"/>
    <w:rsid w:val="00767FF1"/>
    <w:rsid w:val="0077006B"/>
    <w:rsid w:val="00770E7C"/>
    <w:rsid w:val="0077162A"/>
    <w:rsid w:val="00772D1F"/>
    <w:rsid w:val="00772DC5"/>
    <w:rsid w:val="007737C2"/>
    <w:rsid w:val="00774250"/>
    <w:rsid w:val="00774F69"/>
    <w:rsid w:val="0077510D"/>
    <w:rsid w:val="00777B39"/>
    <w:rsid w:val="0078238C"/>
    <w:rsid w:val="00782797"/>
    <w:rsid w:val="007828A7"/>
    <w:rsid w:val="0078349F"/>
    <w:rsid w:val="00783943"/>
    <w:rsid w:val="0078525F"/>
    <w:rsid w:val="00785448"/>
    <w:rsid w:val="00785C0F"/>
    <w:rsid w:val="00786CB1"/>
    <w:rsid w:val="00787751"/>
    <w:rsid w:val="00787BFD"/>
    <w:rsid w:val="00787C43"/>
    <w:rsid w:val="00790068"/>
    <w:rsid w:val="0079022D"/>
    <w:rsid w:val="00791356"/>
    <w:rsid w:val="00791B70"/>
    <w:rsid w:val="00791D5D"/>
    <w:rsid w:val="00792A0E"/>
    <w:rsid w:val="00792BDE"/>
    <w:rsid w:val="00792D41"/>
    <w:rsid w:val="00792DA4"/>
    <w:rsid w:val="00793EF5"/>
    <w:rsid w:val="0079491C"/>
    <w:rsid w:val="00795A34"/>
    <w:rsid w:val="00795DBE"/>
    <w:rsid w:val="00795EC6"/>
    <w:rsid w:val="007A1019"/>
    <w:rsid w:val="007A1A7A"/>
    <w:rsid w:val="007A36EB"/>
    <w:rsid w:val="007A3D33"/>
    <w:rsid w:val="007A4507"/>
    <w:rsid w:val="007A4C84"/>
    <w:rsid w:val="007A52AC"/>
    <w:rsid w:val="007A78A3"/>
    <w:rsid w:val="007A7AAF"/>
    <w:rsid w:val="007A7F7C"/>
    <w:rsid w:val="007B00F1"/>
    <w:rsid w:val="007B059C"/>
    <w:rsid w:val="007B21FE"/>
    <w:rsid w:val="007B22DD"/>
    <w:rsid w:val="007B2E25"/>
    <w:rsid w:val="007B3475"/>
    <w:rsid w:val="007B3905"/>
    <w:rsid w:val="007B4827"/>
    <w:rsid w:val="007B487A"/>
    <w:rsid w:val="007B4901"/>
    <w:rsid w:val="007B4C2D"/>
    <w:rsid w:val="007B4DC0"/>
    <w:rsid w:val="007B4EA2"/>
    <w:rsid w:val="007B5462"/>
    <w:rsid w:val="007B67A4"/>
    <w:rsid w:val="007C0199"/>
    <w:rsid w:val="007C0520"/>
    <w:rsid w:val="007C0A64"/>
    <w:rsid w:val="007C0AF2"/>
    <w:rsid w:val="007C0D46"/>
    <w:rsid w:val="007C145D"/>
    <w:rsid w:val="007C2271"/>
    <w:rsid w:val="007C25F2"/>
    <w:rsid w:val="007C304E"/>
    <w:rsid w:val="007C3F93"/>
    <w:rsid w:val="007C53BA"/>
    <w:rsid w:val="007C5DF0"/>
    <w:rsid w:val="007C693D"/>
    <w:rsid w:val="007C6EA5"/>
    <w:rsid w:val="007C71F3"/>
    <w:rsid w:val="007C7D2C"/>
    <w:rsid w:val="007C7F2D"/>
    <w:rsid w:val="007D04DC"/>
    <w:rsid w:val="007D1F69"/>
    <w:rsid w:val="007D2102"/>
    <w:rsid w:val="007D2B17"/>
    <w:rsid w:val="007D3579"/>
    <w:rsid w:val="007D3C30"/>
    <w:rsid w:val="007D50D1"/>
    <w:rsid w:val="007D5908"/>
    <w:rsid w:val="007D62DD"/>
    <w:rsid w:val="007D660D"/>
    <w:rsid w:val="007D691B"/>
    <w:rsid w:val="007D72CC"/>
    <w:rsid w:val="007D78E0"/>
    <w:rsid w:val="007E03E9"/>
    <w:rsid w:val="007E0618"/>
    <w:rsid w:val="007E06E4"/>
    <w:rsid w:val="007E06EC"/>
    <w:rsid w:val="007E083E"/>
    <w:rsid w:val="007E0EA6"/>
    <w:rsid w:val="007E11EE"/>
    <w:rsid w:val="007E270A"/>
    <w:rsid w:val="007E2D9B"/>
    <w:rsid w:val="007E44E0"/>
    <w:rsid w:val="007E4CFE"/>
    <w:rsid w:val="007E5273"/>
    <w:rsid w:val="007E549B"/>
    <w:rsid w:val="007E5813"/>
    <w:rsid w:val="007E5D73"/>
    <w:rsid w:val="007E5F14"/>
    <w:rsid w:val="007E749A"/>
    <w:rsid w:val="007E7F03"/>
    <w:rsid w:val="007F2A8C"/>
    <w:rsid w:val="007F2EAF"/>
    <w:rsid w:val="007F3263"/>
    <w:rsid w:val="007F3546"/>
    <w:rsid w:val="007F3A09"/>
    <w:rsid w:val="007F3ACD"/>
    <w:rsid w:val="007F456B"/>
    <w:rsid w:val="007F505B"/>
    <w:rsid w:val="007F5495"/>
    <w:rsid w:val="007F62FD"/>
    <w:rsid w:val="007F64AF"/>
    <w:rsid w:val="007F6E0F"/>
    <w:rsid w:val="007F7473"/>
    <w:rsid w:val="00800536"/>
    <w:rsid w:val="00800818"/>
    <w:rsid w:val="00800CD5"/>
    <w:rsid w:val="0080103C"/>
    <w:rsid w:val="00801B2B"/>
    <w:rsid w:val="00802CD0"/>
    <w:rsid w:val="00803BDE"/>
    <w:rsid w:val="00805DD1"/>
    <w:rsid w:val="00806334"/>
    <w:rsid w:val="008101EE"/>
    <w:rsid w:val="008103C6"/>
    <w:rsid w:val="008109AC"/>
    <w:rsid w:val="00811B53"/>
    <w:rsid w:val="00811CA5"/>
    <w:rsid w:val="00811FCC"/>
    <w:rsid w:val="00812B69"/>
    <w:rsid w:val="00812F09"/>
    <w:rsid w:val="00813B5B"/>
    <w:rsid w:val="00814740"/>
    <w:rsid w:val="00814B4B"/>
    <w:rsid w:val="00814C83"/>
    <w:rsid w:val="008168F7"/>
    <w:rsid w:val="0081712E"/>
    <w:rsid w:val="0081730D"/>
    <w:rsid w:val="008175E3"/>
    <w:rsid w:val="00820501"/>
    <w:rsid w:val="008214B0"/>
    <w:rsid w:val="0082197B"/>
    <w:rsid w:val="008223F3"/>
    <w:rsid w:val="00822FBD"/>
    <w:rsid w:val="00823885"/>
    <w:rsid w:val="00823E46"/>
    <w:rsid w:val="00824DF1"/>
    <w:rsid w:val="00825598"/>
    <w:rsid w:val="00825FD5"/>
    <w:rsid w:val="00826CBC"/>
    <w:rsid w:val="00826DF7"/>
    <w:rsid w:val="00827A9C"/>
    <w:rsid w:val="00827D49"/>
    <w:rsid w:val="00830052"/>
    <w:rsid w:val="00830420"/>
    <w:rsid w:val="00830CBE"/>
    <w:rsid w:val="00831906"/>
    <w:rsid w:val="00832595"/>
    <w:rsid w:val="00833958"/>
    <w:rsid w:val="00833B4F"/>
    <w:rsid w:val="00833C3D"/>
    <w:rsid w:val="00834476"/>
    <w:rsid w:val="00834761"/>
    <w:rsid w:val="0083499C"/>
    <w:rsid w:val="0083539A"/>
    <w:rsid w:val="00835BCE"/>
    <w:rsid w:val="00835DAB"/>
    <w:rsid w:val="00836096"/>
    <w:rsid w:val="008379F7"/>
    <w:rsid w:val="00837B94"/>
    <w:rsid w:val="00840749"/>
    <w:rsid w:val="00840C7D"/>
    <w:rsid w:val="008412AD"/>
    <w:rsid w:val="008416D7"/>
    <w:rsid w:val="00841FF0"/>
    <w:rsid w:val="00843278"/>
    <w:rsid w:val="00843311"/>
    <w:rsid w:val="0084382E"/>
    <w:rsid w:val="008438CE"/>
    <w:rsid w:val="00844797"/>
    <w:rsid w:val="00844CCB"/>
    <w:rsid w:val="00844E76"/>
    <w:rsid w:val="008450A5"/>
    <w:rsid w:val="008453F4"/>
    <w:rsid w:val="0084681B"/>
    <w:rsid w:val="00846BAA"/>
    <w:rsid w:val="00846C4D"/>
    <w:rsid w:val="0084719B"/>
    <w:rsid w:val="00847E09"/>
    <w:rsid w:val="008516BC"/>
    <w:rsid w:val="00851CE2"/>
    <w:rsid w:val="00852014"/>
    <w:rsid w:val="0085217A"/>
    <w:rsid w:val="00852FED"/>
    <w:rsid w:val="008537C0"/>
    <w:rsid w:val="00853B09"/>
    <w:rsid w:val="008540BC"/>
    <w:rsid w:val="008544AA"/>
    <w:rsid w:val="00856913"/>
    <w:rsid w:val="00856C9B"/>
    <w:rsid w:val="00857553"/>
    <w:rsid w:val="008579C0"/>
    <w:rsid w:val="00857CFD"/>
    <w:rsid w:val="008611CC"/>
    <w:rsid w:val="0086182D"/>
    <w:rsid w:val="00862499"/>
    <w:rsid w:val="00862861"/>
    <w:rsid w:val="00862C1D"/>
    <w:rsid w:val="00862CCB"/>
    <w:rsid w:val="00862E50"/>
    <w:rsid w:val="008633F7"/>
    <w:rsid w:val="00863BBE"/>
    <w:rsid w:val="008643E5"/>
    <w:rsid w:val="00864BBC"/>
    <w:rsid w:val="00864E48"/>
    <w:rsid w:val="00865B54"/>
    <w:rsid w:val="00866176"/>
    <w:rsid w:val="008668C9"/>
    <w:rsid w:val="00866B60"/>
    <w:rsid w:val="00867827"/>
    <w:rsid w:val="00867FF8"/>
    <w:rsid w:val="008710BB"/>
    <w:rsid w:val="00871AFA"/>
    <w:rsid w:val="00871F82"/>
    <w:rsid w:val="00871FED"/>
    <w:rsid w:val="008720B5"/>
    <w:rsid w:val="0087277F"/>
    <w:rsid w:val="00874B0D"/>
    <w:rsid w:val="008765C6"/>
    <w:rsid w:val="0087714E"/>
    <w:rsid w:val="00877205"/>
    <w:rsid w:val="008774F7"/>
    <w:rsid w:val="00877BE8"/>
    <w:rsid w:val="0088005D"/>
    <w:rsid w:val="00881F18"/>
    <w:rsid w:val="00883313"/>
    <w:rsid w:val="0088342D"/>
    <w:rsid w:val="00883F45"/>
    <w:rsid w:val="008841C7"/>
    <w:rsid w:val="00884F23"/>
    <w:rsid w:val="00885575"/>
    <w:rsid w:val="00885772"/>
    <w:rsid w:val="00885BD0"/>
    <w:rsid w:val="008860FE"/>
    <w:rsid w:val="00886778"/>
    <w:rsid w:val="008879BA"/>
    <w:rsid w:val="00887BB9"/>
    <w:rsid w:val="00887DA1"/>
    <w:rsid w:val="008900D5"/>
    <w:rsid w:val="00890200"/>
    <w:rsid w:val="0089067B"/>
    <w:rsid w:val="00890768"/>
    <w:rsid w:val="00890BAE"/>
    <w:rsid w:val="00890C7B"/>
    <w:rsid w:val="00890EDC"/>
    <w:rsid w:val="00890EDD"/>
    <w:rsid w:val="00891ABF"/>
    <w:rsid w:val="00891F00"/>
    <w:rsid w:val="00892468"/>
    <w:rsid w:val="00892731"/>
    <w:rsid w:val="008940F3"/>
    <w:rsid w:val="00894232"/>
    <w:rsid w:val="00894D11"/>
    <w:rsid w:val="00897711"/>
    <w:rsid w:val="0089781E"/>
    <w:rsid w:val="008A0816"/>
    <w:rsid w:val="008A1738"/>
    <w:rsid w:val="008A1A9B"/>
    <w:rsid w:val="008A1E84"/>
    <w:rsid w:val="008A1F0D"/>
    <w:rsid w:val="008A2187"/>
    <w:rsid w:val="008A2FFF"/>
    <w:rsid w:val="008A31CF"/>
    <w:rsid w:val="008A32C5"/>
    <w:rsid w:val="008A3FFF"/>
    <w:rsid w:val="008A4106"/>
    <w:rsid w:val="008A4421"/>
    <w:rsid w:val="008A4ADA"/>
    <w:rsid w:val="008A52F7"/>
    <w:rsid w:val="008B0743"/>
    <w:rsid w:val="008B0C42"/>
    <w:rsid w:val="008B0CE7"/>
    <w:rsid w:val="008B1594"/>
    <w:rsid w:val="008B362B"/>
    <w:rsid w:val="008B3DDC"/>
    <w:rsid w:val="008B4643"/>
    <w:rsid w:val="008B49F8"/>
    <w:rsid w:val="008B4B75"/>
    <w:rsid w:val="008B4E6C"/>
    <w:rsid w:val="008B505E"/>
    <w:rsid w:val="008B5440"/>
    <w:rsid w:val="008B5AA7"/>
    <w:rsid w:val="008B6158"/>
    <w:rsid w:val="008B6CC7"/>
    <w:rsid w:val="008B76F5"/>
    <w:rsid w:val="008B78D0"/>
    <w:rsid w:val="008B7BDF"/>
    <w:rsid w:val="008C0179"/>
    <w:rsid w:val="008C0719"/>
    <w:rsid w:val="008C1F92"/>
    <w:rsid w:val="008C2C60"/>
    <w:rsid w:val="008C308C"/>
    <w:rsid w:val="008C3428"/>
    <w:rsid w:val="008C34BC"/>
    <w:rsid w:val="008C3710"/>
    <w:rsid w:val="008C37B6"/>
    <w:rsid w:val="008C413B"/>
    <w:rsid w:val="008C4B70"/>
    <w:rsid w:val="008C550A"/>
    <w:rsid w:val="008C6690"/>
    <w:rsid w:val="008C67F4"/>
    <w:rsid w:val="008C7130"/>
    <w:rsid w:val="008D019B"/>
    <w:rsid w:val="008D031E"/>
    <w:rsid w:val="008D0423"/>
    <w:rsid w:val="008D0E4E"/>
    <w:rsid w:val="008D267B"/>
    <w:rsid w:val="008D3588"/>
    <w:rsid w:val="008D3952"/>
    <w:rsid w:val="008D5938"/>
    <w:rsid w:val="008D59CD"/>
    <w:rsid w:val="008D59E1"/>
    <w:rsid w:val="008D5F7A"/>
    <w:rsid w:val="008D6665"/>
    <w:rsid w:val="008D708A"/>
    <w:rsid w:val="008D73EA"/>
    <w:rsid w:val="008D78C7"/>
    <w:rsid w:val="008D7CB7"/>
    <w:rsid w:val="008D7E74"/>
    <w:rsid w:val="008E0424"/>
    <w:rsid w:val="008E1132"/>
    <w:rsid w:val="008E19A5"/>
    <w:rsid w:val="008E1C22"/>
    <w:rsid w:val="008E2BD5"/>
    <w:rsid w:val="008E309F"/>
    <w:rsid w:val="008E31AA"/>
    <w:rsid w:val="008E344E"/>
    <w:rsid w:val="008E3912"/>
    <w:rsid w:val="008E4B74"/>
    <w:rsid w:val="008E54E6"/>
    <w:rsid w:val="008E605F"/>
    <w:rsid w:val="008E6AE9"/>
    <w:rsid w:val="008E7331"/>
    <w:rsid w:val="008E7B6E"/>
    <w:rsid w:val="008E7DAB"/>
    <w:rsid w:val="008F0505"/>
    <w:rsid w:val="008F2912"/>
    <w:rsid w:val="008F4603"/>
    <w:rsid w:val="008F58C0"/>
    <w:rsid w:val="008F6472"/>
    <w:rsid w:val="008F6CE5"/>
    <w:rsid w:val="008F6F39"/>
    <w:rsid w:val="00900054"/>
    <w:rsid w:val="0090008C"/>
    <w:rsid w:val="009008F9"/>
    <w:rsid w:val="0090132B"/>
    <w:rsid w:val="00902957"/>
    <w:rsid w:val="00905870"/>
    <w:rsid w:val="00906101"/>
    <w:rsid w:val="00906B8D"/>
    <w:rsid w:val="00906EFD"/>
    <w:rsid w:val="00907F47"/>
    <w:rsid w:val="009109B4"/>
    <w:rsid w:val="0091182C"/>
    <w:rsid w:val="00911D86"/>
    <w:rsid w:val="00912C29"/>
    <w:rsid w:val="009133C1"/>
    <w:rsid w:val="00913B17"/>
    <w:rsid w:val="00913F4F"/>
    <w:rsid w:val="00914299"/>
    <w:rsid w:val="00915282"/>
    <w:rsid w:val="00915464"/>
    <w:rsid w:val="00915659"/>
    <w:rsid w:val="00916166"/>
    <w:rsid w:val="009169F1"/>
    <w:rsid w:val="0092013A"/>
    <w:rsid w:val="00920A24"/>
    <w:rsid w:val="009213AF"/>
    <w:rsid w:val="009221AB"/>
    <w:rsid w:val="009223A3"/>
    <w:rsid w:val="0092252E"/>
    <w:rsid w:val="00922A02"/>
    <w:rsid w:val="00924849"/>
    <w:rsid w:val="009257D0"/>
    <w:rsid w:val="00925E34"/>
    <w:rsid w:val="00926C26"/>
    <w:rsid w:val="009271F5"/>
    <w:rsid w:val="009300A2"/>
    <w:rsid w:val="00930289"/>
    <w:rsid w:val="00930419"/>
    <w:rsid w:val="00930E70"/>
    <w:rsid w:val="00931797"/>
    <w:rsid w:val="00931D23"/>
    <w:rsid w:val="009323F0"/>
    <w:rsid w:val="00933003"/>
    <w:rsid w:val="009336CF"/>
    <w:rsid w:val="00933A43"/>
    <w:rsid w:val="00934200"/>
    <w:rsid w:val="009349A6"/>
    <w:rsid w:val="00934A96"/>
    <w:rsid w:val="0093545D"/>
    <w:rsid w:val="0093621D"/>
    <w:rsid w:val="00936C4D"/>
    <w:rsid w:val="00937E9A"/>
    <w:rsid w:val="00941774"/>
    <w:rsid w:val="00944FCD"/>
    <w:rsid w:val="00945DFB"/>
    <w:rsid w:val="00947012"/>
    <w:rsid w:val="009476B9"/>
    <w:rsid w:val="00950029"/>
    <w:rsid w:val="009514C9"/>
    <w:rsid w:val="00951928"/>
    <w:rsid w:val="00951A47"/>
    <w:rsid w:val="00951F0D"/>
    <w:rsid w:val="00953997"/>
    <w:rsid w:val="009540AA"/>
    <w:rsid w:val="0095497E"/>
    <w:rsid w:val="00954A84"/>
    <w:rsid w:val="00956F50"/>
    <w:rsid w:val="00957813"/>
    <w:rsid w:val="00957B2D"/>
    <w:rsid w:val="0096032C"/>
    <w:rsid w:val="009618A4"/>
    <w:rsid w:val="00962047"/>
    <w:rsid w:val="009640C8"/>
    <w:rsid w:val="0096472D"/>
    <w:rsid w:val="009647E8"/>
    <w:rsid w:val="0096580A"/>
    <w:rsid w:val="00965D41"/>
    <w:rsid w:val="009669CA"/>
    <w:rsid w:val="0096714E"/>
    <w:rsid w:val="00967701"/>
    <w:rsid w:val="009679F2"/>
    <w:rsid w:val="009700AA"/>
    <w:rsid w:val="0097033B"/>
    <w:rsid w:val="009712EE"/>
    <w:rsid w:val="00971C3B"/>
    <w:rsid w:val="00971E38"/>
    <w:rsid w:val="009732AF"/>
    <w:rsid w:val="00973719"/>
    <w:rsid w:val="00973A4A"/>
    <w:rsid w:val="00973DBB"/>
    <w:rsid w:val="009743EC"/>
    <w:rsid w:val="0097467C"/>
    <w:rsid w:val="00974739"/>
    <w:rsid w:val="009751D7"/>
    <w:rsid w:val="009753A1"/>
    <w:rsid w:val="009757EB"/>
    <w:rsid w:val="00976B8B"/>
    <w:rsid w:val="009771C4"/>
    <w:rsid w:val="00977453"/>
    <w:rsid w:val="0098044A"/>
    <w:rsid w:val="00981093"/>
    <w:rsid w:val="00981961"/>
    <w:rsid w:val="00981EA1"/>
    <w:rsid w:val="0098232E"/>
    <w:rsid w:val="00982458"/>
    <w:rsid w:val="0098267A"/>
    <w:rsid w:val="009857F0"/>
    <w:rsid w:val="00985871"/>
    <w:rsid w:val="00986360"/>
    <w:rsid w:val="00986BBA"/>
    <w:rsid w:val="0098750A"/>
    <w:rsid w:val="009876F9"/>
    <w:rsid w:val="0099020D"/>
    <w:rsid w:val="00990742"/>
    <w:rsid w:val="00990BEC"/>
    <w:rsid w:val="00990F4D"/>
    <w:rsid w:val="00991FBD"/>
    <w:rsid w:val="00992665"/>
    <w:rsid w:val="00992694"/>
    <w:rsid w:val="0099282D"/>
    <w:rsid w:val="00992D1D"/>
    <w:rsid w:val="0099310F"/>
    <w:rsid w:val="00993833"/>
    <w:rsid w:val="00994652"/>
    <w:rsid w:val="0099587A"/>
    <w:rsid w:val="009969AB"/>
    <w:rsid w:val="00996D8A"/>
    <w:rsid w:val="00997B05"/>
    <w:rsid w:val="009A016F"/>
    <w:rsid w:val="009A092D"/>
    <w:rsid w:val="009A0BA7"/>
    <w:rsid w:val="009A138C"/>
    <w:rsid w:val="009A16AA"/>
    <w:rsid w:val="009A1802"/>
    <w:rsid w:val="009A33C1"/>
    <w:rsid w:val="009A3603"/>
    <w:rsid w:val="009A3B3C"/>
    <w:rsid w:val="009A3EBD"/>
    <w:rsid w:val="009A4088"/>
    <w:rsid w:val="009A4901"/>
    <w:rsid w:val="009A4E91"/>
    <w:rsid w:val="009A55CF"/>
    <w:rsid w:val="009A6368"/>
    <w:rsid w:val="009A639D"/>
    <w:rsid w:val="009A67BB"/>
    <w:rsid w:val="009A7BDC"/>
    <w:rsid w:val="009B04B4"/>
    <w:rsid w:val="009B114E"/>
    <w:rsid w:val="009B18BE"/>
    <w:rsid w:val="009B1C7B"/>
    <w:rsid w:val="009B3474"/>
    <w:rsid w:val="009B356A"/>
    <w:rsid w:val="009B4289"/>
    <w:rsid w:val="009B49F7"/>
    <w:rsid w:val="009B4BAB"/>
    <w:rsid w:val="009B58A9"/>
    <w:rsid w:val="009B61BA"/>
    <w:rsid w:val="009B6235"/>
    <w:rsid w:val="009B680F"/>
    <w:rsid w:val="009B6B94"/>
    <w:rsid w:val="009B7404"/>
    <w:rsid w:val="009B7DB7"/>
    <w:rsid w:val="009C0CFB"/>
    <w:rsid w:val="009C1B9E"/>
    <w:rsid w:val="009C1C3C"/>
    <w:rsid w:val="009C2C2B"/>
    <w:rsid w:val="009C2D32"/>
    <w:rsid w:val="009C34C2"/>
    <w:rsid w:val="009C43A2"/>
    <w:rsid w:val="009C48F6"/>
    <w:rsid w:val="009C4CE8"/>
    <w:rsid w:val="009C6C73"/>
    <w:rsid w:val="009C6D3E"/>
    <w:rsid w:val="009C7B94"/>
    <w:rsid w:val="009C7DCB"/>
    <w:rsid w:val="009D0A18"/>
    <w:rsid w:val="009D11A0"/>
    <w:rsid w:val="009D16E7"/>
    <w:rsid w:val="009D3185"/>
    <w:rsid w:val="009D3CC4"/>
    <w:rsid w:val="009D70A4"/>
    <w:rsid w:val="009E151D"/>
    <w:rsid w:val="009E1C5F"/>
    <w:rsid w:val="009E2633"/>
    <w:rsid w:val="009E2AC0"/>
    <w:rsid w:val="009E2AE2"/>
    <w:rsid w:val="009E2C41"/>
    <w:rsid w:val="009E2D51"/>
    <w:rsid w:val="009E3450"/>
    <w:rsid w:val="009E3547"/>
    <w:rsid w:val="009E3D17"/>
    <w:rsid w:val="009E46C5"/>
    <w:rsid w:val="009E55CA"/>
    <w:rsid w:val="009E5DFF"/>
    <w:rsid w:val="009E6428"/>
    <w:rsid w:val="009E6EAA"/>
    <w:rsid w:val="009E7231"/>
    <w:rsid w:val="009E775F"/>
    <w:rsid w:val="009E7E92"/>
    <w:rsid w:val="009E7F78"/>
    <w:rsid w:val="009E7F94"/>
    <w:rsid w:val="009F0409"/>
    <w:rsid w:val="009F1201"/>
    <w:rsid w:val="009F13C0"/>
    <w:rsid w:val="009F1557"/>
    <w:rsid w:val="009F1D00"/>
    <w:rsid w:val="009F1F75"/>
    <w:rsid w:val="009F2866"/>
    <w:rsid w:val="009F316E"/>
    <w:rsid w:val="009F3826"/>
    <w:rsid w:val="009F3973"/>
    <w:rsid w:val="009F5E87"/>
    <w:rsid w:val="009F5E8A"/>
    <w:rsid w:val="009F75C4"/>
    <w:rsid w:val="009F76C6"/>
    <w:rsid w:val="00A005E0"/>
    <w:rsid w:val="00A012A5"/>
    <w:rsid w:val="00A025FC"/>
    <w:rsid w:val="00A02AEE"/>
    <w:rsid w:val="00A03380"/>
    <w:rsid w:val="00A03465"/>
    <w:rsid w:val="00A03EB1"/>
    <w:rsid w:val="00A04ECA"/>
    <w:rsid w:val="00A05221"/>
    <w:rsid w:val="00A05888"/>
    <w:rsid w:val="00A05C7F"/>
    <w:rsid w:val="00A0671B"/>
    <w:rsid w:val="00A0722B"/>
    <w:rsid w:val="00A072A4"/>
    <w:rsid w:val="00A072D5"/>
    <w:rsid w:val="00A07E22"/>
    <w:rsid w:val="00A12215"/>
    <w:rsid w:val="00A125D6"/>
    <w:rsid w:val="00A133B0"/>
    <w:rsid w:val="00A14400"/>
    <w:rsid w:val="00A14865"/>
    <w:rsid w:val="00A15D17"/>
    <w:rsid w:val="00A15ED8"/>
    <w:rsid w:val="00A1615A"/>
    <w:rsid w:val="00A1724B"/>
    <w:rsid w:val="00A207A4"/>
    <w:rsid w:val="00A2086C"/>
    <w:rsid w:val="00A20F0C"/>
    <w:rsid w:val="00A21056"/>
    <w:rsid w:val="00A21461"/>
    <w:rsid w:val="00A217AD"/>
    <w:rsid w:val="00A220EA"/>
    <w:rsid w:val="00A228ED"/>
    <w:rsid w:val="00A22A83"/>
    <w:rsid w:val="00A233D1"/>
    <w:rsid w:val="00A2350C"/>
    <w:rsid w:val="00A27A23"/>
    <w:rsid w:val="00A27A34"/>
    <w:rsid w:val="00A30000"/>
    <w:rsid w:val="00A304D1"/>
    <w:rsid w:val="00A31D7C"/>
    <w:rsid w:val="00A32A9C"/>
    <w:rsid w:val="00A331A2"/>
    <w:rsid w:val="00A335B9"/>
    <w:rsid w:val="00A3367C"/>
    <w:rsid w:val="00A3392A"/>
    <w:rsid w:val="00A34A7D"/>
    <w:rsid w:val="00A34BAA"/>
    <w:rsid w:val="00A34BEB"/>
    <w:rsid w:val="00A351AA"/>
    <w:rsid w:val="00A35501"/>
    <w:rsid w:val="00A36BD5"/>
    <w:rsid w:val="00A37231"/>
    <w:rsid w:val="00A3729A"/>
    <w:rsid w:val="00A37686"/>
    <w:rsid w:val="00A3781A"/>
    <w:rsid w:val="00A37AE0"/>
    <w:rsid w:val="00A37B3B"/>
    <w:rsid w:val="00A40B59"/>
    <w:rsid w:val="00A40BDA"/>
    <w:rsid w:val="00A40CDC"/>
    <w:rsid w:val="00A40DED"/>
    <w:rsid w:val="00A41DCA"/>
    <w:rsid w:val="00A429AE"/>
    <w:rsid w:val="00A429C6"/>
    <w:rsid w:val="00A42E01"/>
    <w:rsid w:val="00A43ED3"/>
    <w:rsid w:val="00A44446"/>
    <w:rsid w:val="00A447EA"/>
    <w:rsid w:val="00A45E15"/>
    <w:rsid w:val="00A460D5"/>
    <w:rsid w:val="00A466DD"/>
    <w:rsid w:val="00A469A8"/>
    <w:rsid w:val="00A47EAC"/>
    <w:rsid w:val="00A50548"/>
    <w:rsid w:val="00A50F4D"/>
    <w:rsid w:val="00A5148D"/>
    <w:rsid w:val="00A5190D"/>
    <w:rsid w:val="00A52388"/>
    <w:rsid w:val="00A52D0A"/>
    <w:rsid w:val="00A53D29"/>
    <w:rsid w:val="00A54151"/>
    <w:rsid w:val="00A54B3D"/>
    <w:rsid w:val="00A54E8E"/>
    <w:rsid w:val="00A55444"/>
    <w:rsid w:val="00A5662A"/>
    <w:rsid w:val="00A56D51"/>
    <w:rsid w:val="00A5706C"/>
    <w:rsid w:val="00A577EA"/>
    <w:rsid w:val="00A57A9B"/>
    <w:rsid w:val="00A57B82"/>
    <w:rsid w:val="00A57D38"/>
    <w:rsid w:val="00A6018C"/>
    <w:rsid w:val="00A60659"/>
    <w:rsid w:val="00A607FB"/>
    <w:rsid w:val="00A60D57"/>
    <w:rsid w:val="00A60DB9"/>
    <w:rsid w:val="00A61560"/>
    <w:rsid w:val="00A6224D"/>
    <w:rsid w:val="00A62967"/>
    <w:rsid w:val="00A629BB"/>
    <w:rsid w:val="00A62C15"/>
    <w:rsid w:val="00A63819"/>
    <w:rsid w:val="00A63967"/>
    <w:rsid w:val="00A6462C"/>
    <w:rsid w:val="00A64871"/>
    <w:rsid w:val="00A64892"/>
    <w:rsid w:val="00A661E3"/>
    <w:rsid w:val="00A66C9C"/>
    <w:rsid w:val="00A7005A"/>
    <w:rsid w:val="00A70AFB"/>
    <w:rsid w:val="00A7132F"/>
    <w:rsid w:val="00A71F81"/>
    <w:rsid w:val="00A7205A"/>
    <w:rsid w:val="00A720B8"/>
    <w:rsid w:val="00A735DF"/>
    <w:rsid w:val="00A752C2"/>
    <w:rsid w:val="00A7608E"/>
    <w:rsid w:val="00A76334"/>
    <w:rsid w:val="00A768EC"/>
    <w:rsid w:val="00A76D22"/>
    <w:rsid w:val="00A77476"/>
    <w:rsid w:val="00A77503"/>
    <w:rsid w:val="00A81527"/>
    <w:rsid w:val="00A8165F"/>
    <w:rsid w:val="00A82071"/>
    <w:rsid w:val="00A82E75"/>
    <w:rsid w:val="00A830F5"/>
    <w:rsid w:val="00A83AF8"/>
    <w:rsid w:val="00A84F82"/>
    <w:rsid w:val="00A85128"/>
    <w:rsid w:val="00A86904"/>
    <w:rsid w:val="00A8793C"/>
    <w:rsid w:val="00A87B42"/>
    <w:rsid w:val="00A9084E"/>
    <w:rsid w:val="00A9091E"/>
    <w:rsid w:val="00A912C0"/>
    <w:rsid w:val="00A91A1F"/>
    <w:rsid w:val="00A91D95"/>
    <w:rsid w:val="00A92336"/>
    <w:rsid w:val="00A93863"/>
    <w:rsid w:val="00A93D86"/>
    <w:rsid w:val="00A93D92"/>
    <w:rsid w:val="00A94C53"/>
    <w:rsid w:val="00A94FA5"/>
    <w:rsid w:val="00A95500"/>
    <w:rsid w:val="00A960C3"/>
    <w:rsid w:val="00A962F7"/>
    <w:rsid w:val="00A971D0"/>
    <w:rsid w:val="00A9759E"/>
    <w:rsid w:val="00A97A6F"/>
    <w:rsid w:val="00AA01BA"/>
    <w:rsid w:val="00AA11AB"/>
    <w:rsid w:val="00AA223B"/>
    <w:rsid w:val="00AA3102"/>
    <w:rsid w:val="00AA3454"/>
    <w:rsid w:val="00AA36E7"/>
    <w:rsid w:val="00AA3E92"/>
    <w:rsid w:val="00AA6A44"/>
    <w:rsid w:val="00AA6FBE"/>
    <w:rsid w:val="00AA7DBD"/>
    <w:rsid w:val="00AB0503"/>
    <w:rsid w:val="00AB0541"/>
    <w:rsid w:val="00AB082F"/>
    <w:rsid w:val="00AB10E4"/>
    <w:rsid w:val="00AB112B"/>
    <w:rsid w:val="00AB1A05"/>
    <w:rsid w:val="00AB1F42"/>
    <w:rsid w:val="00AB28B3"/>
    <w:rsid w:val="00AB3054"/>
    <w:rsid w:val="00AB311B"/>
    <w:rsid w:val="00AB388B"/>
    <w:rsid w:val="00AB4B9B"/>
    <w:rsid w:val="00AB4FB5"/>
    <w:rsid w:val="00AB5314"/>
    <w:rsid w:val="00AB5465"/>
    <w:rsid w:val="00AB5543"/>
    <w:rsid w:val="00AB5BEC"/>
    <w:rsid w:val="00AB6B44"/>
    <w:rsid w:val="00AC0238"/>
    <w:rsid w:val="00AC0E3D"/>
    <w:rsid w:val="00AC2284"/>
    <w:rsid w:val="00AC2300"/>
    <w:rsid w:val="00AC3AC9"/>
    <w:rsid w:val="00AC3D7E"/>
    <w:rsid w:val="00AC57D2"/>
    <w:rsid w:val="00AC6DDF"/>
    <w:rsid w:val="00AC79E2"/>
    <w:rsid w:val="00AC7FF0"/>
    <w:rsid w:val="00AD003E"/>
    <w:rsid w:val="00AD0856"/>
    <w:rsid w:val="00AD2A63"/>
    <w:rsid w:val="00AD2AF2"/>
    <w:rsid w:val="00AD2C3C"/>
    <w:rsid w:val="00AD2CBA"/>
    <w:rsid w:val="00AD33B0"/>
    <w:rsid w:val="00AD44D0"/>
    <w:rsid w:val="00AD499F"/>
    <w:rsid w:val="00AD6014"/>
    <w:rsid w:val="00AD63C6"/>
    <w:rsid w:val="00AD64B4"/>
    <w:rsid w:val="00AD6922"/>
    <w:rsid w:val="00AD6D6F"/>
    <w:rsid w:val="00AD6F11"/>
    <w:rsid w:val="00AD77A1"/>
    <w:rsid w:val="00AE0ADB"/>
    <w:rsid w:val="00AE0D5D"/>
    <w:rsid w:val="00AE1244"/>
    <w:rsid w:val="00AE1FA1"/>
    <w:rsid w:val="00AE27A6"/>
    <w:rsid w:val="00AE2960"/>
    <w:rsid w:val="00AE3646"/>
    <w:rsid w:val="00AE3D31"/>
    <w:rsid w:val="00AE4A09"/>
    <w:rsid w:val="00AE6373"/>
    <w:rsid w:val="00AE7F1B"/>
    <w:rsid w:val="00AF0F2B"/>
    <w:rsid w:val="00AF16FC"/>
    <w:rsid w:val="00AF1D32"/>
    <w:rsid w:val="00AF2079"/>
    <w:rsid w:val="00AF238B"/>
    <w:rsid w:val="00AF2934"/>
    <w:rsid w:val="00AF3492"/>
    <w:rsid w:val="00AF3E3A"/>
    <w:rsid w:val="00AF467D"/>
    <w:rsid w:val="00AF4D86"/>
    <w:rsid w:val="00AF516F"/>
    <w:rsid w:val="00AF55FE"/>
    <w:rsid w:val="00AF6874"/>
    <w:rsid w:val="00AF694B"/>
    <w:rsid w:val="00B00235"/>
    <w:rsid w:val="00B00496"/>
    <w:rsid w:val="00B007E0"/>
    <w:rsid w:val="00B015A1"/>
    <w:rsid w:val="00B03D22"/>
    <w:rsid w:val="00B03F33"/>
    <w:rsid w:val="00B04899"/>
    <w:rsid w:val="00B05317"/>
    <w:rsid w:val="00B05CFC"/>
    <w:rsid w:val="00B05D09"/>
    <w:rsid w:val="00B05E33"/>
    <w:rsid w:val="00B07A2C"/>
    <w:rsid w:val="00B07CDB"/>
    <w:rsid w:val="00B07EE7"/>
    <w:rsid w:val="00B100C0"/>
    <w:rsid w:val="00B105AA"/>
    <w:rsid w:val="00B11631"/>
    <w:rsid w:val="00B12870"/>
    <w:rsid w:val="00B132BC"/>
    <w:rsid w:val="00B13691"/>
    <w:rsid w:val="00B1474E"/>
    <w:rsid w:val="00B14EFF"/>
    <w:rsid w:val="00B16CBE"/>
    <w:rsid w:val="00B178AC"/>
    <w:rsid w:val="00B214D3"/>
    <w:rsid w:val="00B21BD1"/>
    <w:rsid w:val="00B21F7B"/>
    <w:rsid w:val="00B221B0"/>
    <w:rsid w:val="00B23344"/>
    <w:rsid w:val="00B23670"/>
    <w:rsid w:val="00B2438E"/>
    <w:rsid w:val="00B24CA9"/>
    <w:rsid w:val="00B252F6"/>
    <w:rsid w:val="00B25547"/>
    <w:rsid w:val="00B27081"/>
    <w:rsid w:val="00B30A5D"/>
    <w:rsid w:val="00B30F64"/>
    <w:rsid w:val="00B31D43"/>
    <w:rsid w:val="00B32D82"/>
    <w:rsid w:val="00B32FCB"/>
    <w:rsid w:val="00B3385A"/>
    <w:rsid w:val="00B3409F"/>
    <w:rsid w:val="00B344A2"/>
    <w:rsid w:val="00B3539F"/>
    <w:rsid w:val="00B353E5"/>
    <w:rsid w:val="00B37596"/>
    <w:rsid w:val="00B37630"/>
    <w:rsid w:val="00B40346"/>
    <w:rsid w:val="00B4047D"/>
    <w:rsid w:val="00B40642"/>
    <w:rsid w:val="00B40ADA"/>
    <w:rsid w:val="00B4170B"/>
    <w:rsid w:val="00B41FCF"/>
    <w:rsid w:val="00B4297A"/>
    <w:rsid w:val="00B43022"/>
    <w:rsid w:val="00B4319E"/>
    <w:rsid w:val="00B43775"/>
    <w:rsid w:val="00B44072"/>
    <w:rsid w:val="00B44679"/>
    <w:rsid w:val="00B44E7E"/>
    <w:rsid w:val="00B453B6"/>
    <w:rsid w:val="00B4584A"/>
    <w:rsid w:val="00B46AAC"/>
    <w:rsid w:val="00B47A1D"/>
    <w:rsid w:val="00B47E4C"/>
    <w:rsid w:val="00B5053B"/>
    <w:rsid w:val="00B51315"/>
    <w:rsid w:val="00B53547"/>
    <w:rsid w:val="00B53DE1"/>
    <w:rsid w:val="00B550AE"/>
    <w:rsid w:val="00B553A3"/>
    <w:rsid w:val="00B55841"/>
    <w:rsid w:val="00B577EE"/>
    <w:rsid w:val="00B57B65"/>
    <w:rsid w:val="00B6008B"/>
    <w:rsid w:val="00B605C8"/>
    <w:rsid w:val="00B60A61"/>
    <w:rsid w:val="00B61810"/>
    <w:rsid w:val="00B618A6"/>
    <w:rsid w:val="00B61C02"/>
    <w:rsid w:val="00B61C46"/>
    <w:rsid w:val="00B63931"/>
    <w:rsid w:val="00B63B8B"/>
    <w:rsid w:val="00B647BA"/>
    <w:rsid w:val="00B64BFC"/>
    <w:rsid w:val="00B64F96"/>
    <w:rsid w:val="00B6502A"/>
    <w:rsid w:val="00B660FA"/>
    <w:rsid w:val="00B669EB"/>
    <w:rsid w:val="00B66C17"/>
    <w:rsid w:val="00B700E9"/>
    <w:rsid w:val="00B703FA"/>
    <w:rsid w:val="00B712EF"/>
    <w:rsid w:val="00B71BB3"/>
    <w:rsid w:val="00B71DB8"/>
    <w:rsid w:val="00B7297F"/>
    <w:rsid w:val="00B72B1F"/>
    <w:rsid w:val="00B7319C"/>
    <w:rsid w:val="00B74013"/>
    <w:rsid w:val="00B7462D"/>
    <w:rsid w:val="00B76285"/>
    <w:rsid w:val="00B767CB"/>
    <w:rsid w:val="00B76BC3"/>
    <w:rsid w:val="00B7708F"/>
    <w:rsid w:val="00B801F3"/>
    <w:rsid w:val="00B80F2A"/>
    <w:rsid w:val="00B82347"/>
    <w:rsid w:val="00B8351E"/>
    <w:rsid w:val="00B839D4"/>
    <w:rsid w:val="00B85D7E"/>
    <w:rsid w:val="00B85ED2"/>
    <w:rsid w:val="00B85EE8"/>
    <w:rsid w:val="00B87499"/>
    <w:rsid w:val="00B9005C"/>
    <w:rsid w:val="00B90544"/>
    <w:rsid w:val="00B90B1C"/>
    <w:rsid w:val="00B91C35"/>
    <w:rsid w:val="00B91C52"/>
    <w:rsid w:val="00B91EF0"/>
    <w:rsid w:val="00B92174"/>
    <w:rsid w:val="00B9290F"/>
    <w:rsid w:val="00B93187"/>
    <w:rsid w:val="00B937C2"/>
    <w:rsid w:val="00B93E10"/>
    <w:rsid w:val="00B9508F"/>
    <w:rsid w:val="00B95375"/>
    <w:rsid w:val="00B95F17"/>
    <w:rsid w:val="00B9666F"/>
    <w:rsid w:val="00B96D3E"/>
    <w:rsid w:val="00B97926"/>
    <w:rsid w:val="00BA08AB"/>
    <w:rsid w:val="00BA08BA"/>
    <w:rsid w:val="00BA0C5A"/>
    <w:rsid w:val="00BA2BDD"/>
    <w:rsid w:val="00BA3DBC"/>
    <w:rsid w:val="00BA4103"/>
    <w:rsid w:val="00BA410D"/>
    <w:rsid w:val="00BA5298"/>
    <w:rsid w:val="00BA5EA4"/>
    <w:rsid w:val="00BA6487"/>
    <w:rsid w:val="00BA6AFF"/>
    <w:rsid w:val="00BA6BCD"/>
    <w:rsid w:val="00BA6D91"/>
    <w:rsid w:val="00BA740B"/>
    <w:rsid w:val="00BA784A"/>
    <w:rsid w:val="00BA7861"/>
    <w:rsid w:val="00BB0276"/>
    <w:rsid w:val="00BB0637"/>
    <w:rsid w:val="00BB0E0E"/>
    <w:rsid w:val="00BB16BE"/>
    <w:rsid w:val="00BB1CCA"/>
    <w:rsid w:val="00BB1D66"/>
    <w:rsid w:val="00BB2B83"/>
    <w:rsid w:val="00BB369F"/>
    <w:rsid w:val="00BB3BB8"/>
    <w:rsid w:val="00BB6C18"/>
    <w:rsid w:val="00BB6F7C"/>
    <w:rsid w:val="00BB7656"/>
    <w:rsid w:val="00BC02EE"/>
    <w:rsid w:val="00BC0B4C"/>
    <w:rsid w:val="00BC1057"/>
    <w:rsid w:val="00BC1B6E"/>
    <w:rsid w:val="00BC33BB"/>
    <w:rsid w:val="00BC3A1C"/>
    <w:rsid w:val="00BC414C"/>
    <w:rsid w:val="00BC5071"/>
    <w:rsid w:val="00BC54BF"/>
    <w:rsid w:val="00BC688C"/>
    <w:rsid w:val="00BC6D81"/>
    <w:rsid w:val="00BC7357"/>
    <w:rsid w:val="00BC77BA"/>
    <w:rsid w:val="00BD0B44"/>
    <w:rsid w:val="00BD1788"/>
    <w:rsid w:val="00BD20EA"/>
    <w:rsid w:val="00BD26B9"/>
    <w:rsid w:val="00BD2871"/>
    <w:rsid w:val="00BD30B9"/>
    <w:rsid w:val="00BD3718"/>
    <w:rsid w:val="00BD3B3E"/>
    <w:rsid w:val="00BD3C89"/>
    <w:rsid w:val="00BD3FEC"/>
    <w:rsid w:val="00BD4150"/>
    <w:rsid w:val="00BD42E4"/>
    <w:rsid w:val="00BD454E"/>
    <w:rsid w:val="00BD56C2"/>
    <w:rsid w:val="00BD649D"/>
    <w:rsid w:val="00BE0A54"/>
    <w:rsid w:val="00BE13FA"/>
    <w:rsid w:val="00BE21A0"/>
    <w:rsid w:val="00BE21B9"/>
    <w:rsid w:val="00BE2CDF"/>
    <w:rsid w:val="00BE5774"/>
    <w:rsid w:val="00BE652D"/>
    <w:rsid w:val="00BE7CE3"/>
    <w:rsid w:val="00BE7F93"/>
    <w:rsid w:val="00BF0676"/>
    <w:rsid w:val="00BF1189"/>
    <w:rsid w:val="00BF1F5E"/>
    <w:rsid w:val="00BF2E15"/>
    <w:rsid w:val="00BF39E5"/>
    <w:rsid w:val="00BF4686"/>
    <w:rsid w:val="00BF5AEE"/>
    <w:rsid w:val="00BF6D9F"/>
    <w:rsid w:val="00BF6DC2"/>
    <w:rsid w:val="00BF76D9"/>
    <w:rsid w:val="00BF7ED3"/>
    <w:rsid w:val="00C005E9"/>
    <w:rsid w:val="00C006AF"/>
    <w:rsid w:val="00C00D4B"/>
    <w:rsid w:val="00C00F99"/>
    <w:rsid w:val="00C00FFB"/>
    <w:rsid w:val="00C012DA"/>
    <w:rsid w:val="00C02A34"/>
    <w:rsid w:val="00C02B7C"/>
    <w:rsid w:val="00C02BFC"/>
    <w:rsid w:val="00C0314C"/>
    <w:rsid w:val="00C03576"/>
    <w:rsid w:val="00C04018"/>
    <w:rsid w:val="00C040F2"/>
    <w:rsid w:val="00C04D40"/>
    <w:rsid w:val="00C05B04"/>
    <w:rsid w:val="00C06D58"/>
    <w:rsid w:val="00C070B3"/>
    <w:rsid w:val="00C071B6"/>
    <w:rsid w:val="00C07F91"/>
    <w:rsid w:val="00C1243D"/>
    <w:rsid w:val="00C12574"/>
    <w:rsid w:val="00C13182"/>
    <w:rsid w:val="00C139E5"/>
    <w:rsid w:val="00C13F50"/>
    <w:rsid w:val="00C13F67"/>
    <w:rsid w:val="00C1424C"/>
    <w:rsid w:val="00C14A0C"/>
    <w:rsid w:val="00C150D6"/>
    <w:rsid w:val="00C158E2"/>
    <w:rsid w:val="00C15A79"/>
    <w:rsid w:val="00C15A9D"/>
    <w:rsid w:val="00C168B6"/>
    <w:rsid w:val="00C16EF0"/>
    <w:rsid w:val="00C1730A"/>
    <w:rsid w:val="00C209CF"/>
    <w:rsid w:val="00C20ABD"/>
    <w:rsid w:val="00C216B3"/>
    <w:rsid w:val="00C21C72"/>
    <w:rsid w:val="00C23004"/>
    <w:rsid w:val="00C2425C"/>
    <w:rsid w:val="00C259A0"/>
    <w:rsid w:val="00C25E97"/>
    <w:rsid w:val="00C275FD"/>
    <w:rsid w:val="00C278B2"/>
    <w:rsid w:val="00C27961"/>
    <w:rsid w:val="00C27F29"/>
    <w:rsid w:val="00C30DCB"/>
    <w:rsid w:val="00C32031"/>
    <w:rsid w:val="00C32DE9"/>
    <w:rsid w:val="00C338AB"/>
    <w:rsid w:val="00C33CDA"/>
    <w:rsid w:val="00C343C1"/>
    <w:rsid w:val="00C34939"/>
    <w:rsid w:val="00C3740A"/>
    <w:rsid w:val="00C402E8"/>
    <w:rsid w:val="00C404B5"/>
    <w:rsid w:val="00C41239"/>
    <w:rsid w:val="00C413D0"/>
    <w:rsid w:val="00C4148B"/>
    <w:rsid w:val="00C418EC"/>
    <w:rsid w:val="00C4193C"/>
    <w:rsid w:val="00C422B8"/>
    <w:rsid w:val="00C4298B"/>
    <w:rsid w:val="00C4321B"/>
    <w:rsid w:val="00C434D6"/>
    <w:rsid w:val="00C4584C"/>
    <w:rsid w:val="00C46358"/>
    <w:rsid w:val="00C478A2"/>
    <w:rsid w:val="00C47936"/>
    <w:rsid w:val="00C5046A"/>
    <w:rsid w:val="00C5085A"/>
    <w:rsid w:val="00C51E74"/>
    <w:rsid w:val="00C544E9"/>
    <w:rsid w:val="00C552AB"/>
    <w:rsid w:val="00C57177"/>
    <w:rsid w:val="00C60274"/>
    <w:rsid w:val="00C61701"/>
    <w:rsid w:val="00C61907"/>
    <w:rsid w:val="00C61B62"/>
    <w:rsid w:val="00C6495A"/>
    <w:rsid w:val="00C66FE1"/>
    <w:rsid w:val="00C670C9"/>
    <w:rsid w:val="00C67103"/>
    <w:rsid w:val="00C7005E"/>
    <w:rsid w:val="00C701A3"/>
    <w:rsid w:val="00C70CCD"/>
    <w:rsid w:val="00C71F4E"/>
    <w:rsid w:val="00C7207A"/>
    <w:rsid w:val="00C73FF2"/>
    <w:rsid w:val="00C750D7"/>
    <w:rsid w:val="00C753C5"/>
    <w:rsid w:val="00C75B4A"/>
    <w:rsid w:val="00C75D81"/>
    <w:rsid w:val="00C7641A"/>
    <w:rsid w:val="00C768C4"/>
    <w:rsid w:val="00C76BE4"/>
    <w:rsid w:val="00C772BD"/>
    <w:rsid w:val="00C77C76"/>
    <w:rsid w:val="00C80926"/>
    <w:rsid w:val="00C80CB9"/>
    <w:rsid w:val="00C83DD5"/>
    <w:rsid w:val="00C83E14"/>
    <w:rsid w:val="00C84194"/>
    <w:rsid w:val="00C847FA"/>
    <w:rsid w:val="00C84AD4"/>
    <w:rsid w:val="00C8582A"/>
    <w:rsid w:val="00C86256"/>
    <w:rsid w:val="00C8713C"/>
    <w:rsid w:val="00C8756E"/>
    <w:rsid w:val="00C90409"/>
    <w:rsid w:val="00C90A77"/>
    <w:rsid w:val="00C91BAD"/>
    <w:rsid w:val="00C92C40"/>
    <w:rsid w:val="00C92E8E"/>
    <w:rsid w:val="00C938C6"/>
    <w:rsid w:val="00C94E50"/>
    <w:rsid w:val="00C95386"/>
    <w:rsid w:val="00C96754"/>
    <w:rsid w:val="00CA01F7"/>
    <w:rsid w:val="00CA12B3"/>
    <w:rsid w:val="00CA383B"/>
    <w:rsid w:val="00CA386A"/>
    <w:rsid w:val="00CA38A9"/>
    <w:rsid w:val="00CA3B52"/>
    <w:rsid w:val="00CA3C9B"/>
    <w:rsid w:val="00CA3E97"/>
    <w:rsid w:val="00CA4530"/>
    <w:rsid w:val="00CA5591"/>
    <w:rsid w:val="00CA672E"/>
    <w:rsid w:val="00CA6A48"/>
    <w:rsid w:val="00CA6FA8"/>
    <w:rsid w:val="00CB02D7"/>
    <w:rsid w:val="00CB06EE"/>
    <w:rsid w:val="00CB0C6C"/>
    <w:rsid w:val="00CB0E66"/>
    <w:rsid w:val="00CB12C0"/>
    <w:rsid w:val="00CB15DE"/>
    <w:rsid w:val="00CB17CA"/>
    <w:rsid w:val="00CB19A6"/>
    <w:rsid w:val="00CB25B6"/>
    <w:rsid w:val="00CB42B3"/>
    <w:rsid w:val="00CB4986"/>
    <w:rsid w:val="00CB542A"/>
    <w:rsid w:val="00CB55D8"/>
    <w:rsid w:val="00CB69ED"/>
    <w:rsid w:val="00CB6EFE"/>
    <w:rsid w:val="00CB796C"/>
    <w:rsid w:val="00CB7D25"/>
    <w:rsid w:val="00CC0FBB"/>
    <w:rsid w:val="00CC14A7"/>
    <w:rsid w:val="00CC1FBD"/>
    <w:rsid w:val="00CC2DCF"/>
    <w:rsid w:val="00CC395A"/>
    <w:rsid w:val="00CC4400"/>
    <w:rsid w:val="00CC5E95"/>
    <w:rsid w:val="00CC6F6E"/>
    <w:rsid w:val="00CC79E7"/>
    <w:rsid w:val="00CD0159"/>
    <w:rsid w:val="00CD0AC8"/>
    <w:rsid w:val="00CD2098"/>
    <w:rsid w:val="00CD3D77"/>
    <w:rsid w:val="00CD4A1F"/>
    <w:rsid w:val="00CD548F"/>
    <w:rsid w:val="00CD5CCA"/>
    <w:rsid w:val="00CD72E6"/>
    <w:rsid w:val="00CE059D"/>
    <w:rsid w:val="00CE0CB5"/>
    <w:rsid w:val="00CE2740"/>
    <w:rsid w:val="00CE2FBA"/>
    <w:rsid w:val="00CE3C0D"/>
    <w:rsid w:val="00CE414E"/>
    <w:rsid w:val="00CE48DC"/>
    <w:rsid w:val="00CE4B65"/>
    <w:rsid w:val="00CE4D0D"/>
    <w:rsid w:val="00CE5CA1"/>
    <w:rsid w:val="00CE715B"/>
    <w:rsid w:val="00CF0A49"/>
    <w:rsid w:val="00CF0B5D"/>
    <w:rsid w:val="00CF22B3"/>
    <w:rsid w:val="00CF36BF"/>
    <w:rsid w:val="00CF3A0C"/>
    <w:rsid w:val="00CF474F"/>
    <w:rsid w:val="00CF4924"/>
    <w:rsid w:val="00CF4C05"/>
    <w:rsid w:val="00CF4D48"/>
    <w:rsid w:val="00CF6CC3"/>
    <w:rsid w:val="00CF7292"/>
    <w:rsid w:val="00CF7322"/>
    <w:rsid w:val="00CF750D"/>
    <w:rsid w:val="00CF7B62"/>
    <w:rsid w:val="00D00DA2"/>
    <w:rsid w:val="00D00F4E"/>
    <w:rsid w:val="00D01667"/>
    <w:rsid w:val="00D01C7E"/>
    <w:rsid w:val="00D023B8"/>
    <w:rsid w:val="00D02E4B"/>
    <w:rsid w:val="00D03C2C"/>
    <w:rsid w:val="00D03C80"/>
    <w:rsid w:val="00D0438E"/>
    <w:rsid w:val="00D04F48"/>
    <w:rsid w:val="00D054B1"/>
    <w:rsid w:val="00D05AB3"/>
    <w:rsid w:val="00D0655B"/>
    <w:rsid w:val="00D06575"/>
    <w:rsid w:val="00D0698A"/>
    <w:rsid w:val="00D07C65"/>
    <w:rsid w:val="00D1222B"/>
    <w:rsid w:val="00D1407A"/>
    <w:rsid w:val="00D14160"/>
    <w:rsid w:val="00D1421F"/>
    <w:rsid w:val="00D144CF"/>
    <w:rsid w:val="00D15711"/>
    <w:rsid w:val="00D16397"/>
    <w:rsid w:val="00D16B75"/>
    <w:rsid w:val="00D16E2B"/>
    <w:rsid w:val="00D204E3"/>
    <w:rsid w:val="00D207E4"/>
    <w:rsid w:val="00D20A7C"/>
    <w:rsid w:val="00D21D09"/>
    <w:rsid w:val="00D21F18"/>
    <w:rsid w:val="00D2216B"/>
    <w:rsid w:val="00D235E7"/>
    <w:rsid w:val="00D23FFC"/>
    <w:rsid w:val="00D2548A"/>
    <w:rsid w:val="00D254BD"/>
    <w:rsid w:val="00D25EB3"/>
    <w:rsid w:val="00D25EE7"/>
    <w:rsid w:val="00D266C8"/>
    <w:rsid w:val="00D27CA7"/>
    <w:rsid w:val="00D30717"/>
    <w:rsid w:val="00D30D2E"/>
    <w:rsid w:val="00D3177E"/>
    <w:rsid w:val="00D319C1"/>
    <w:rsid w:val="00D327B9"/>
    <w:rsid w:val="00D34062"/>
    <w:rsid w:val="00D34085"/>
    <w:rsid w:val="00D34380"/>
    <w:rsid w:val="00D347E2"/>
    <w:rsid w:val="00D3530E"/>
    <w:rsid w:val="00D3543C"/>
    <w:rsid w:val="00D36A5C"/>
    <w:rsid w:val="00D370D9"/>
    <w:rsid w:val="00D37704"/>
    <w:rsid w:val="00D37B8F"/>
    <w:rsid w:val="00D37F69"/>
    <w:rsid w:val="00D403D9"/>
    <w:rsid w:val="00D40679"/>
    <w:rsid w:val="00D40889"/>
    <w:rsid w:val="00D40E15"/>
    <w:rsid w:val="00D40FF9"/>
    <w:rsid w:val="00D41737"/>
    <w:rsid w:val="00D42724"/>
    <w:rsid w:val="00D427B0"/>
    <w:rsid w:val="00D441B8"/>
    <w:rsid w:val="00D44963"/>
    <w:rsid w:val="00D44F7A"/>
    <w:rsid w:val="00D45004"/>
    <w:rsid w:val="00D4519D"/>
    <w:rsid w:val="00D5057E"/>
    <w:rsid w:val="00D5070A"/>
    <w:rsid w:val="00D50B31"/>
    <w:rsid w:val="00D51DD6"/>
    <w:rsid w:val="00D51E3D"/>
    <w:rsid w:val="00D52A4E"/>
    <w:rsid w:val="00D5398F"/>
    <w:rsid w:val="00D54C73"/>
    <w:rsid w:val="00D55364"/>
    <w:rsid w:val="00D558CB"/>
    <w:rsid w:val="00D55B1D"/>
    <w:rsid w:val="00D56348"/>
    <w:rsid w:val="00D56931"/>
    <w:rsid w:val="00D56DCE"/>
    <w:rsid w:val="00D57773"/>
    <w:rsid w:val="00D6008B"/>
    <w:rsid w:val="00D6025E"/>
    <w:rsid w:val="00D60515"/>
    <w:rsid w:val="00D6102C"/>
    <w:rsid w:val="00D61943"/>
    <w:rsid w:val="00D61A5B"/>
    <w:rsid w:val="00D62A24"/>
    <w:rsid w:val="00D62ECC"/>
    <w:rsid w:val="00D638D3"/>
    <w:rsid w:val="00D6450B"/>
    <w:rsid w:val="00D64947"/>
    <w:rsid w:val="00D64AE9"/>
    <w:rsid w:val="00D6546E"/>
    <w:rsid w:val="00D65773"/>
    <w:rsid w:val="00D65D92"/>
    <w:rsid w:val="00D6729C"/>
    <w:rsid w:val="00D673E3"/>
    <w:rsid w:val="00D67A5C"/>
    <w:rsid w:val="00D67E88"/>
    <w:rsid w:val="00D70258"/>
    <w:rsid w:val="00D70C61"/>
    <w:rsid w:val="00D70D81"/>
    <w:rsid w:val="00D71964"/>
    <w:rsid w:val="00D71C5D"/>
    <w:rsid w:val="00D7268C"/>
    <w:rsid w:val="00D73DD6"/>
    <w:rsid w:val="00D740DE"/>
    <w:rsid w:val="00D741A4"/>
    <w:rsid w:val="00D7472B"/>
    <w:rsid w:val="00D74B7B"/>
    <w:rsid w:val="00D75031"/>
    <w:rsid w:val="00D7526F"/>
    <w:rsid w:val="00D75BFE"/>
    <w:rsid w:val="00D760D5"/>
    <w:rsid w:val="00D76150"/>
    <w:rsid w:val="00D77965"/>
    <w:rsid w:val="00D77B68"/>
    <w:rsid w:val="00D800F7"/>
    <w:rsid w:val="00D805FA"/>
    <w:rsid w:val="00D8357F"/>
    <w:rsid w:val="00D8643E"/>
    <w:rsid w:val="00D86AE8"/>
    <w:rsid w:val="00D8726C"/>
    <w:rsid w:val="00D87B67"/>
    <w:rsid w:val="00D908D6"/>
    <w:rsid w:val="00D942A6"/>
    <w:rsid w:val="00D94F55"/>
    <w:rsid w:val="00D95E77"/>
    <w:rsid w:val="00D96373"/>
    <w:rsid w:val="00D96E80"/>
    <w:rsid w:val="00DA2DE0"/>
    <w:rsid w:val="00DA359F"/>
    <w:rsid w:val="00DA3A07"/>
    <w:rsid w:val="00DA3DFF"/>
    <w:rsid w:val="00DA4D71"/>
    <w:rsid w:val="00DA5E61"/>
    <w:rsid w:val="00DA630F"/>
    <w:rsid w:val="00DA6CED"/>
    <w:rsid w:val="00DA6FB5"/>
    <w:rsid w:val="00DA7CCB"/>
    <w:rsid w:val="00DB04FB"/>
    <w:rsid w:val="00DB0F06"/>
    <w:rsid w:val="00DB15D0"/>
    <w:rsid w:val="00DB1D09"/>
    <w:rsid w:val="00DB2E47"/>
    <w:rsid w:val="00DB2F6C"/>
    <w:rsid w:val="00DB3A7A"/>
    <w:rsid w:val="00DB4E52"/>
    <w:rsid w:val="00DB50FD"/>
    <w:rsid w:val="00DB659E"/>
    <w:rsid w:val="00DB6802"/>
    <w:rsid w:val="00DB78B3"/>
    <w:rsid w:val="00DC0270"/>
    <w:rsid w:val="00DC0745"/>
    <w:rsid w:val="00DC2093"/>
    <w:rsid w:val="00DC2B4E"/>
    <w:rsid w:val="00DC3938"/>
    <w:rsid w:val="00DC3BDE"/>
    <w:rsid w:val="00DC47C1"/>
    <w:rsid w:val="00DC47C9"/>
    <w:rsid w:val="00DC5564"/>
    <w:rsid w:val="00DC5828"/>
    <w:rsid w:val="00DC5853"/>
    <w:rsid w:val="00DC598B"/>
    <w:rsid w:val="00DC5B11"/>
    <w:rsid w:val="00DC645F"/>
    <w:rsid w:val="00DC7A71"/>
    <w:rsid w:val="00DD094A"/>
    <w:rsid w:val="00DD1E29"/>
    <w:rsid w:val="00DD21F6"/>
    <w:rsid w:val="00DD320B"/>
    <w:rsid w:val="00DD3FBC"/>
    <w:rsid w:val="00DD49FA"/>
    <w:rsid w:val="00DD4F99"/>
    <w:rsid w:val="00DD61B3"/>
    <w:rsid w:val="00DD67DA"/>
    <w:rsid w:val="00DD7620"/>
    <w:rsid w:val="00DE0385"/>
    <w:rsid w:val="00DE093C"/>
    <w:rsid w:val="00DE0ACE"/>
    <w:rsid w:val="00DE0FFF"/>
    <w:rsid w:val="00DE10DB"/>
    <w:rsid w:val="00DE127C"/>
    <w:rsid w:val="00DE1EB5"/>
    <w:rsid w:val="00DE2E7F"/>
    <w:rsid w:val="00DE3A10"/>
    <w:rsid w:val="00DE445D"/>
    <w:rsid w:val="00DE4CC0"/>
    <w:rsid w:val="00DE540B"/>
    <w:rsid w:val="00DE554F"/>
    <w:rsid w:val="00DE604F"/>
    <w:rsid w:val="00DE6648"/>
    <w:rsid w:val="00DE68FE"/>
    <w:rsid w:val="00DE799A"/>
    <w:rsid w:val="00DE7C8B"/>
    <w:rsid w:val="00DF0084"/>
    <w:rsid w:val="00DF058F"/>
    <w:rsid w:val="00DF0FC0"/>
    <w:rsid w:val="00DF1AEC"/>
    <w:rsid w:val="00DF21A7"/>
    <w:rsid w:val="00DF2D89"/>
    <w:rsid w:val="00DF34F5"/>
    <w:rsid w:val="00DF3579"/>
    <w:rsid w:val="00DF4DD0"/>
    <w:rsid w:val="00DF509B"/>
    <w:rsid w:val="00DF573D"/>
    <w:rsid w:val="00DF5ABE"/>
    <w:rsid w:val="00DF5D8A"/>
    <w:rsid w:val="00DF607F"/>
    <w:rsid w:val="00DF68F2"/>
    <w:rsid w:val="00DF6979"/>
    <w:rsid w:val="00DF6A7B"/>
    <w:rsid w:val="00DF6FC9"/>
    <w:rsid w:val="00DF742C"/>
    <w:rsid w:val="00E006B4"/>
    <w:rsid w:val="00E014F4"/>
    <w:rsid w:val="00E02C86"/>
    <w:rsid w:val="00E0486E"/>
    <w:rsid w:val="00E05ED9"/>
    <w:rsid w:val="00E05F67"/>
    <w:rsid w:val="00E077C3"/>
    <w:rsid w:val="00E07C25"/>
    <w:rsid w:val="00E07F43"/>
    <w:rsid w:val="00E125D7"/>
    <w:rsid w:val="00E1333E"/>
    <w:rsid w:val="00E13921"/>
    <w:rsid w:val="00E13AB8"/>
    <w:rsid w:val="00E14321"/>
    <w:rsid w:val="00E147E9"/>
    <w:rsid w:val="00E14AA3"/>
    <w:rsid w:val="00E1665B"/>
    <w:rsid w:val="00E16D73"/>
    <w:rsid w:val="00E16FC8"/>
    <w:rsid w:val="00E17A8A"/>
    <w:rsid w:val="00E17C27"/>
    <w:rsid w:val="00E17CC4"/>
    <w:rsid w:val="00E213B7"/>
    <w:rsid w:val="00E22508"/>
    <w:rsid w:val="00E22E0B"/>
    <w:rsid w:val="00E22E96"/>
    <w:rsid w:val="00E2300E"/>
    <w:rsid w:val="00E234B7"/>
    <w:rsid w:val="00E23F6F"/>
    <w:rsid w:val="00E2402D"/>
    <w:rsid w:val="00E2472A"/>
    <w:rsid w:val="00E250E7"/>
    <w:rsid w:val="00E25398"/>
    <w:rsid w:val="00E25425"/>
    <w:rsid w:val="00E2582F"/>
    <w:rsid w:val="00E25D1B"/>
    <w:rsid w:val="00E262B9"/>
    <w:rsid w:val="00E264A4"/>
    <w:rsid w:val="00E26689"/>
    <w:rsid w:val="00E267A4"/>
    <w:rsid w:val="00E3014F"/>
    <w:rsid w:val="00E30861"/>
    <w:rsid w:val="00E31BE3"/>
    <w:rsid w:val="00E33494"/>
    <w:rsid w:val="00E33999"/>
    <w:rsid w:val="00E346F7"/>
    <w:rsid w:val="00E346F9"/>
    <w:rsid w:val="00E37196"/>
    <w:rsid w:val="00E3737E"/>
    <w:rsid w:val="00E378B7"/>
    <w:rsid w:val="00E40117"/>
    <w:rsid w:val="00E403FD"/>
    <w:rsid w:val="00E408E3"/>
    <w:rsid w:val="00E40B96"/>
    <w:rsid w:val="00E41034"/>
    <w:rsid w:val="00E41F19"/>
    <w:rsid w:val="00E421CD"/>
    <w:rsid w:val="00E424FD"/>
    <w:rsid w:val="00E42E81"/>
    <w:rsid w:val="00E43ACB"/>
    <w:rsid w:val="00E43E00"/>
    <w:rsid w:val="00E455E1"/>
    <w:rsid w:val="00E46116"/>
    <w:rsid w:val="00E469CD"/>
    <w:rsid w:val="00E46E1F"/>
    <w:rsid w:val="00E46FF4"/>
    <w:rsid w:val="00E478F9"/>
    <w:rsid w:val="00E5001C"/>
    <w:rsid w:val="00E52753"/>
    <w:rsid w:val="00E5285B"/>
    <w:rsid w:val="00E53E40"/>
    <w:rsid w:val="00E54236"/>
    <w:rsid w:val="00E559EF"/>
    <w:rsid w:val="00E55BB7"/>
    <w:rsid w:val="00E6294A"/>
    <w:rsid w:val="00E62DFA"/>
    <w:rsid w:val="00E62E6B"/>
    <w:rsid w:val="00E64510"/>
    <w:rsid w:val="00E6531D"/>
    <w:rsid w:val="00E653C6"/>
    <w:rsid w:val="00E65958"/>
    <w:rsid w:val="00E65EB5"/>
    <w:rsid w:val="00E663AE"/>
    <w:rsid w:val="00E67549"/>
    <w:rsid w:val="00E67BE9"/>
    <w:rsid w:val="00E70A0C"/>
    <w:rsid w:val="00E70D2F"/>
    <w:rsid w:val="00E71203"/>
    <w:rsid w:val="00E727F7"/>
    <w:rsid w:val="00E72EF4"/>
    <w:rsid w:val="00E73420"/>
    <w:rsid w:val="00E74773"/>
    <w:rsid w:val="00E74D8A"/>
    <w:rsid w:val="00E74E63"/>
    <w:rsid w:val="00E7607B"/>
    <w:rsid w:val="00E77123"/>
    <w:rsid w:val="00E77350"/>
    <w:rsid w:val="00E81472"/>
    <w:rsid w:val="00E81CC3"/>
    <w:rsid w:val="00E82162"/>
    <w:rsid w:val="00E82675"/>
    <w:rsid w:val="00E82CE1"/>
    <w:rsid w:val="00E8308C"/>
    <w:rsid w:val="00E83D2B"/>
    <w:rsid w:val="00E8429E"/>
    <w:rsid w:val="00E843E0"/>
    <w:rsid w:val="00E849BD"/>
    <w:rsid w:val="00E854E5"/>
    <w:rsid w:val="00E85A7B"/>
    <w:rsid w:val="00E86012"/>
    <w:rsid w:val="00E86A07"/>
    <w:rsid w:val="00E86FFC"/>
    <w:rsid w:val="00E875E4"/>
    <w:rsid w:val="00E87652"/>
    <w:rsid w:val="00E90369"/>
    <w:rsid w:val="00E90EF6"/>
    <w:rsid w:val="00E91B4D"/>
    <w:rsid w:val="00E92CD2"/>
    <w:rsid w:val="00E94DF3"/>
    <w:rsid w:val="00E96ED7"/>
    <w:rsid w:val="00E97BED"/>
    <w:rsid w:val="00E97FD4"/>
    <w:rsid w:val="00EA03EC"/>
    <w:rsid w:val="00EA090E"/>
    <w:rsid w:val="00EA104C"/>
    <w:rsid w:val="00EA14D8"/>
    <w:rsid w:val="00EA1795"/>
    <w:rsid w:val="00EA1A82"/>
    <w:rsid w:val="00EA3159"/>
    <w:rsid w:val="00EA52A8"/>
    <w:rsid w:val="00EA5A2F"/>
    <w:rsid w:val="00EA5DA0"/>
    <w:rsid w:val="00EA6013"/>
    <w:rsid w:val="00EA64FA"/>
    <w:rsid w:val="00EA72B3"/>
    <w:rsid w:val="00EA7A6B"/>
    <w:rsid w:val="00EB0E43"/>
    <w:rsid w:val="00EB0EE5"/>
    <w:rsid w:val="00EB13B7"/>
    <w:rsid w:val="00EB2AA7"/>
    <w:rsid w:val="00EB2B77"/>
    <w:rsid w:val="00EB310F"/>
    <w:rsid w:val="00EB3491"/>
    <w:rsid w:val="00EB4454"/>
    <w:rsid w:val="00EB6E4B"/>
    <w:rsid w:val="00EB7ADD"/>
    <w:rsid w:val="00EB7DAE"/>
    <w:rsid w:val="00EC02AD"/>
    <w:rsid w:val="00EC0EF6"/>
    <w:rsid w:val="00EC18A0"/>
    <w:rsid w:val="00EC3CB0"/>
    <w:rsid w:val="00EC6BB5"/>
    <w:rsid w:val="00EC7293"/>
    <w:rsid w:val="00ED0138"/>
    <w:rsid w:val="00ED1E4F"/>
    <w:rsid w:val="00ED2C79"/>
    <w:rsid w:val="00ED3306"/>
    <w:rsid w:val="00ED3D06"/>
    <w:rsid w:val="00ED401F"/>
    <w:rsid w:val="00ED4030"/>
    <w:rsid w:val="00ED42F7"/>
    <w:rsid w:val="00ED5BB9"/>
    <w:rsid w:val="00ED5CFA"/>
    <w:rsid w:val="00ED6B32"/>
    <w:rsid w:val="00ED6C6E"/>
    <w:rsid w:val="00EE2BB7"/>
    <w:rsid w:val="00EE2DF7"/>
    <w:rsid w:val="00EE3368"/>
    <w:rsid w:val="00EE3DCE"/>
    <w:rsid w:val="00EE43E8"/>
    <w:rsid w:val="00EE4652"/>
    <w:rsid w:val="00EE546E"/>
    <w:rsid w:val="00EE5542"/>
    <w:rsid w:val="00EE6ED9"/>
    <w:rsid w:val="00EE7EF4"/>
    <w:rsid w:val="00EF131C"/>
    <w:rsid w:val="00EF39CB"/>
    <w:rsid w:val="00EF3E9D"/>
    <w:rsid w:val="00EF62F2"/>
    <w:rsid w:val="00EF6739"/>
    <w:rsid w:val="00EF74CE"/>
    <w:rsid w:val="00F01245"/>
    <w:rsid w:val="00F014AE"/>
    <w:rsid w:val="00F01B9B"/>
    <w:rsid w:val="00F0237C"/>
    <w:rsid w:val="00F0268D"/>
    <w:rsid w:val="00F02A9E"/>
    <w:rsid w:val="00F03B35"/>
    <w:rsid w:val="00F04860"/>
    <w:rsid w:val="00F04CB1"/>
    <w:rsid w:val="00F050AA"/>
    <w:rsid w:val="00F056BC"/>
    <w:rsid w:val="00F065CC"/>
    <w:rsid w:val="00F06968"/>
    <w:rsid w:val="00F06B52"/>
    <w:rsid w:val="00F07130"/>
    <w:rsid w:val="00F104D2"/>
    <w:rsid w:val="00F10939"/>
    <w:rsid w:val="00F10BC4"/>
    <w:rsid w:val="00F1172A"/>
    <w:rsid w:val="00F117AC"/>
    <w:rsid w:val="00F123F6"/>
    <w:rsid w:val="00F12F29"/>
    <w:rsid w:val="00F12FA8"/>
    <w:rsid w:val="00F1332A"/>
    <w:rsid w:val="00F14FDB"/>
    <w:rsid w:val="00F151B4"/>
    <w:rsid w:val="00F20556"/>
    <w:rsid w:val="00F20EED"/>
    <w:rsid w:val="00F22ADA"/>
    <w:rsid w:val="00F22BF7"/>
    <w:rsid w:val="00F231FB"/>
    <w:rsid w:val="00F2348B"/>
    <w:rsid w:val="00F237A8"/>
    <w:rsid w:val="00F257BA"/>
    <w:rsid w:val="00F258C2"/>
    <w:rsid w:val="00F25EEB"/>
    <w:rsid w:val="00F25F8E"/>
    <w:rsid w:val="00F263AF"/>
    <w:rsid w:val="00F26526"/>
    <w:rsid w:val="00F26724"/>
    <w:rsid w:val="00F307CD"/>
    <w:rsid w:val="00F30FAD"/>
    <w:rsid w:val="00F3171A"/>
    <w:rsid w:val="00F32D55"/>
    <w:rsid w:val="00F32DD8"/>
    <w:rsid w:val="00F3327D"/>
    <w:rsid w:val="00F336AB"/>
    <w:rsid w:val="00F34465"/>
    <w:rsid w:val="00F345A6"/>
    <w:rsid w:val="00F34E24"/>
    <w:rsid w:val="00F3521A"/>
    <w:rsid w:val="00F35559"/>
    <w:rsid w:val="00F35692"/>
    <w:rsid w:val="00F36BDC"/>
    <w:rsid w:val="00F37274"/>
    <w:rsid w:val="00F379C0"/>
    <w:rsid w:val="00F37C0F"/>
    <w:rsid w:val="00F41046"/>
    <w:rsid w:val="00F41327"/>
    <w:rsid w:val="00F41363"/>
    <w:rsid w:val="00F416CB"/>
    <w:rsid w:val="00F419D6"/>
    <w:rsid w:val="00F4217A"/>
    <w:rsid w:val="00F42662"/>
    <w:rsid w:val="00F42F5A"/>
    <w:rsid w:val="00F43447"/>
    <w:rsid w:val="00F43DB9"/>
    <w:rsid w:val="00F43FD4"/>
    <w:rsid w:val="00F44359"/>
    <w:rsid w:val="00F44407"/>
    <w:rsid w:val="00F4451C"/>
    <w:rsid w:val="00F4494B"/>
    <w:rsid w:val="00F45142"/>
    <w:rsid w:val="00F47604"/>
    <w:rsid w:val="00F5016A"/>
    <w:rsid w:val="00F507AF"/>
    <w:rsid w:val="00F50F92"/>
    <w:rsid w:val="00F51368"/>
    <w:rsid w:val="00F51548"/>
    <w:rsid w:val="00F51B02"/>
    <w:rsid w:val="00F521D1"/>
    <w:rsid w:val="00F5257C"/>
    <w:rsid w:val="00F532C4"/>
    <w:rsid w:val="00F53AB5"/>
    <w:rsid w:val="00F53E36"/>
    <w:rsid w:val="00F54306"/>
    <w:rsid w:val="00F55252"/>
    <w:rsid w:val="00F56A87"/>
    <w:rsid w:val="00F6010C"/>
    <w:rsid w:val="00F605AE"/>
    <w:rsid w:val="00F61054"/>
    <w:rsid w:val="00F616B3"/>
    <w:rsid w:val="00F617CE"/>
    <w:rsid w:val="00F61C8D"/>
    <w:rsid w:val="00F620B5"/>
    <w:rsid w:val="00F62CC6"/>
    <w:rsid w:val="00F63240"/>
    <w:rsid w:val="00F64CCE"/>
    <w:rsid w:val="00F65DB9"/>
    <w:rsid w:val="00F65DFD"/>
    <w:rsid w:val="00F668DE"/>
    <w:rsid w:val="00F66B4B"/>
    <w:rsid w:val="00F66FD4"/>
    <w:rsid w:val="00F70430"/>
    <w:rsid w:val="00F70691"/>
    <w:rsid w:val="00F70927"/>
    <w:rsid w:val="00F70ADA"/>
    <w:rsid w:val="00F71088"/>
    <w:rsid w:val="00F71466"/>
    <w:rsid w:val="00F71CEE"/>
    <w:rsid w:val="00F72BB4"/>
    <w:rsid w:val="00F72F31"/>
    <w:rsid w:val="00F7305F"/>
    <w:rsid w:val="00F735A2"/>
    <w:rsid w:val="00F73C74"/>
    <w:rsid w:val="00F73DF6"/>
    <w:rsid w:val="00F75D3B"/>
    <w:rsid w:val="00F77DA8"/>
    <w:rsid w:val="00F77F5D"/>
    <w:rsid w:val="00F80F0A"/>
    <w:rsid w:val="00F80F88"/>
    <w:rsid w:val="00F81169"/>
    <w:rsid w:val="00F83249"/>
    <w:rsid w:val="00F83CFF"/>
    <w:rsid w:val="00F85E84"/>
    <w:rsid w:val="00F860F4"/>
    <w:rsid w:val="00F86976"/>
    <w:rsid w:val="00F86DCA"/>
    <w:rsid w:val="00F873D4"/>
    <w:rsid w:val="00F90053"/>
    <w:rsid w:val="00F900B1"/>
    <w:rsid w:val="00F90341"/>
    <w:rsid w:val="00F903A0"/>
    <w:rsid w:val="00F90D14"/>
    <w:rsid w:val="00F90ECD"/>
    <w:rsid w:val="00F9105C"/>
    <w:rsid w:val="00F91282"/>
    <w:rsid w:val="00F91DD1"/>
    <w:rsid w:val="00F927FA"/>
    <w:rsid w:val="00F9650E"/>
    <w:rsid w:val="00F9699D"/>
    <w:rsid w:val="00F976CD"/>
    <w:rsid w:val="00F97985"/>
    <w:rsid w:val="00F97F4E"/>
    <w:rsid w:val="00FA0276"/>
    <w:rsid w:val="00FA0ABD"/>
    <w:rsid w:val="00FA0ECB"/>
    <w:rsid w:val="00FA2967"/>
    <w:rsid w:val="00FA2AB3"/>
    <w:rsid w:val="00FA34C5"/>
    <w:rsid w:val="00FA45ED"/>
    <w:rsid w:val="00FA4D26"/>
    <w:rsid w:val="00FA4F9B"/>
    <w:rsid w:val="00FA5187"/>
    <w:rsid w:val="00FA6306"/>
    <w:rsid w:val="00FA7193"/>
    <w:rsid w:val="00FB1C63"/>
    <w:rsid w:val="00FB3076"/>
    <w:rsid w:val="00FB33BD"/>
    <w:rsid w:val="00FB3844"/>
    <w:rsid w:val="00FB4471"/>
    <w:rsid w:val="00FB4DBA"/>
    <w:rsid w:val="00FB52A7"/>
    <w:rsid w:val="00FB54F2"/>
    <w:rsid w:val="00FB657F"/>
    <w:rsid w:val="00FB6A59"/>
    <w:rsid w:val="00FC0405"/>
    <w:rsid w:val="00FC1940"/>
    <w:rsid w:val="00FC225C"/>
    <w:rsid w:val="00FC2E4E"/>
    <w:rsid w:val="00FC30EC"/>
    <w:rsid w:val="00FC327D"/>
    <w:rsid w:val="00FC337A"/>
    <w:rsid w:val="00FC39FB"/>
    <w:rsid w:val="00FC4052"/>
    <w:rsid w:val="00FC4185"/>
    <w:rsid w:val="00FC42C3"/>
    <w:rsid w:val="00FC51B8"/>
    <w:rsid w:val="00FC5885"/>
    <w:rsid w:val="00FC5E53"/>
    <w:rsid w:val="00FC5F74"/>
    <w:rsid w:val="00FC5FF9"/>
    <w:rsid w:val="00FC6476"/>
    <w:rsid w:val="00FC6F02"/>
    <w:rsid w:val="00FC7045"/>
    <w:rsid w:val="00FC7F35"/>
    <w:rsid w:val="00FD06B8"/>
    <w:rsid w:val="00FD0845"/>
    <w:rsid w:val="00FD123D"/>
    <w:rsid w:val="00FD17CC"/>
    <w:rsid w:val="00FD22D4"/>
    <w:rsid w:val="00FD25B5"/>
    <w:rsid w:val="00FD2999"/>
    <w:rsid w:val="00FD2EF6"/>
    <w:rsid w:val="00FD43F4"/>
    <w:rsid w:val="00FD468D"/>
    <w:rsid w:val="00FD50C5"/>
    <w:rsid w:val="00FD5FE4"/>
    <w:rsid w:val="00FD6E08"/>
    <w:rsid w:val="00FD6E7F"/>
    <w:rsid w:val="00FD7428"/>
    <w:rsid w:val="00FD7C4D"/>
    <w:rsid w:val="00FE0348"/>
    <w:rsid w:val="00FE099B"/>
    <w:rsid w:val="00FE0C47"/>
    <w:rsid w:val="00FE0E65"/>
    <w:rsid w:val="00FE2512"/>
    <w:rsid w:val="00FE26F1"/>
    <w:rsid w:val="00FE2ACF"/>
    <w:rsid w:val="00FE3531"/>
    <w:rsid w:val="00FE399A"/>
    <w:rsid w:val="00FE49EC"/>
    <w:rsid w:val="00FE4D91"/>
    <w:rsid w:val="00FE4F49"/>
    <w:rsid w:val="00FE5BB8"/>
    <w:rsid w:val="00FE6131"/>
    <w:rsid w:val="00FE73CE"/>
    <w:rsid w:val="00FE7624"/>
    <w:rsid w:val="00FE7700"/>
    <w:rsid w:val="00FE7787"/>
    <w:rsid w:val="00FE7A9E"/>
    <w:rsid w:val="00FF01CF"/>
    <w:rsid w:val="00FF0392"/>
    <w:rsid w:val="00FF0A4A"/>
    <w:rsid w:val="00FF12A3"/>
    <w:rsid w:val="00FF1E01"/>
    <w:rsid w:val="00FF2B54"/>
    <w:rsid w:val="00FF2CDA"/>
    <w:rsid w:val="00FF2F7D"/>
    <w:rsid w:val="00FF317A"/>
    <w:rsid w:val="00FF3307"/>
    <w:rsid w:val="00FF414C"/>
    <w:rsid w:val="00FF5740"/>
    <w:rsid w:val="00FF585A"/>
    <w:rsid w:val="00FF7153"/>
    <w:rsid w:val="00FF7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C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AD"/>
  </w:style>
  <w:style w:type="paragraph" w:styleId="Heading1">
    <w:name w:val="heading 1"/>
    <w:basedOn w:val="Normal"/>
    <w:link w:val="Heading1Char"/>
    <w:uiPriority w:val="9"/>
    <w:qFormat/>
    <w:rsid w:val="00073E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s-AR" w:eastAsia="es-AR"/>
    </w:rPr>
  </w:style>
  <w:style w:type="paragraph" w:styleId="Heading3">
    <w:name w:val="heading 3"/>
    <w:basedOn w:val="Normal"/>
    <w:next w:val="Normal"/>
    <w:link w:val="Heading3Char"/>
    <w:uiPriority w:val="9"/>
    <w:unhideWhenUsed/>
    <w:qFormat/>
    <w:rsid w:val="002E6D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17AD"/>
    <w:pPr>
      <w:spacing w:after="0" w:line="240" w:lineRule="auto"/>
    </w:pPr>
    <w:rPr>
      <w:sz w:val="20"/>
      <w:szCs w:val="20"/>
    </w:rPr>
  </w:style>
  <w:style w:type="character" w:customStyle="1" w:styleId="FootnoteTextChar">
    <w:name w:val="Footnote Text Char"/>
    <w:basedOn w:val="DefaultParagraphFont"/>
    <w:link w:val="FootnoteText"/>
    <w:uiPriority w:val="99"/>
    <w:rsid w:val="00A217AD"/>
    <w:rPr>
      <w:sz w:val="20"/>
      <w:szCs w:val="20"/>
    </w:rPr>
  </w:style>
  <w:style w:type="character" w:styleId="FootnoteReference">
    <w:name w:val="footnote reference"/>
    <w:basedOn w:val="DefaultParagraphFont"/>
    <w:uiPriority w:val="99"/>
    <w:unhideWhenUsed/>
    <w:rsid w:val="00A217AD"/>
    <w:rPr>
      <w:vertAlign w:val="superscript"/>
    </w:rPr>
  </w:style>
  <w:style w:type="character" w:styleId="Hyperlink">
    <w:name w:val="Hyperlink"/>
    <w:basedOn w:val="DefaultParagraphFont"/>
    <w:uiPriority w:val="99"/>
    <w:unhideWhenUsed/>
    <w:rsid w:val="00A217AD"/>
    <w:rPr>
      <w:color w:val="0000FF" w:themeColor="hyperlink"/>
      <w:u w:val="single"/>
    </w:rPr>
  </w:style>
  <w:style w:type="character" w:styleId="CommentReference">
    <w:name w:val="annotation reference"/>
    <w:basedOn w:val="DefaultParagraphFont"/>
    <w:uiPriority w:val="99"/>
    <w:semiHidden/>
    <w:unhideWhenUsed/>
    <w:rsid w:val="00A217AD"/>
    <w:rPr>
      <w:sz w:val="16"/>
      <w:szCs w:val="16"/>
    </w:rPr>
  </w:style>
  <w:style w:type="paragraph" w:styleId="CommentText">
    <w:name w:val="annotation text"/>
    <w:basedOn w:val="Normal"/>
    <w:link w:val="CommentTextChar"/>
    <w:uiPriority w:val="99"/>
    <w:unhideWhenUsed/>
    <w:rsid w:val="00A217AD"/>
    <w:pPr>
      <w:spacing w:line="240" w:lineRule="auto"/>
    </w:pPr>
    <w:rPr>
      <w:sz w:val="20"/>
      <w:szCs w:val="20"/>
    </w:rPr>
  </w:style>
  <w:style w:type="character" w:customStyle="1" w:styleId="CommentTextChar">
    <w:name w:val="Comment Text Char"/>
    <w:basedOn w:val="DefaultParagraphFont"/>
    <w:link w:val="CommentText"/>
    <w:uiPriority w:val="99"/>
    <w:rsid w:val="00A217AD"/>
    <w:rPr>
      <w:sz w:val="20"/>
      <w:szCs w:val="20"/>
    </w:rPr>
  </w:style>
  <w:style w:type="paragraph" w:styleId="BalloonText">
    <w:name w:val="Balloon Text"/>
    <w:basedOn w:val="Normal"/>
    <w:link w:val="BalloonTextChar"/>
    <w:uiPriority w:val="99"/>
    <w:semiHidden/>
    <w:unhideWhenUsed/>
    <w:rsid w:val="00A21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7A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D21F6"/>
    <w:rPr>
      <w:b/>
      <w:bCs/>
    </w:rPr>
  </w:style>
  <w:style w:type="character" w:customStyle="1" w:styleId="CommentSubjectChar">
    <w:name w:val="Comment Subject Char"/>
    <w:basedOn w:val="CommentTextChar"/>
    <w:link w:val="CommentSubject"/>
    <w:uiPriority w:val="99"/>
    <w:semiHidden/>
    <w:rsid w:val="00DD21F6"/>
    <w:rPr>
      <w:b/>
      <w:bCs/>
      <w:sz w:val="20"/>
      <w:szCs w:val="20"/>
    </w:rPr>
  </w:style>
  <w:style w:type="table" w:styleId="TableGrid">
    <w:name w:val="Table Grid"/>
    <w:basedOn w:val="TableNormal"/>
    <w:uiPriority w:val="59"/>
    <w:rsid w:val="0059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5955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59550E"/>
    <w:pPr>
      <w:ind w:left="720"/>
      <w:contextualSpacing/>
    </w:pPr>
  </w:style>
  <w:style w:type="table" w:customStyle="1" w:styleId="ListTable1Light1">
    <w:name w:val="List Table 1 Light1"/>
    <w:basedOn w:val="TableNormal"/>
    <w:uiPriority w:val="46"/>
    <w:rsid w:val="005955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B5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3C5"/>
  </w:style>
  <w:style w:type="paragraph" w:styleId="Footer">
    <w:name w:val="footer"/>
    <w:basedOn w:val="Normal"/>
    <w:link w:val="FooterChar"/>
    <w:uiPriority w:val="99"/>
    <w:unhideWhenUsed/>
    <w:rsid w:val="004B5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3C5"/>
  </w:style>
  <w:style w:type="character" w:customStyle="1" w:styleId="apple-converted-space">
    <w:name w:val="apple-converted-space"/>
    <w:basedOn w:val="DefaultParagraphFont"/>
    <w:rsid w:val="00073EC3"/>
  </w:style>
  <w:style w:type="character" w:customStyle="1" w:styleId="Heading1Char">
    <w:name w:val="Heading 1 Char"/>
    <w:basedOn w:val="DefaultParagraphFont"/>
    <w:link w:val="Heading1"/>
    <w:uiPriority w:val="9"/>
    <w:rsid w:val="00073EC3"/>
    <w:rPr>
      <w:rFonts w:ascii="Times New Roman" w:eastAsia="Times New Roman" w:hAnsi="Times New Roman" w:cs="Times New Roman"/>
      <w:b/>
      <w:bCs/>
      <w:kern w:val="36"/>
      <w:sz w:val="48"/>
      <w:szCs w:val="48"/>
      <w:lang w:val="es-AR" w:eastAsia="es-AR"/>
    </w:rPr>
  </w:style>
  <w:style w:type="paragraph" w:styleId="Revision">
    <w:name w:val="Revision"/>
    <w:hidden/>
    <w:uiPriority w:val="99"/>
    <w:semiHidden/>
    <w:rsid w:val="00CC0FBB"/>
    <w:pPr>
      <w:spacing w:after="0" w:line="240" w:lineRule="auto"/>
    </w:pPr>
  </w:style>
  <w:style w:type="paragraph" w:customStyle="1" w:styleId="Default">
    <w:name w:val="Default"/>
    <w:rsid w:val="00F12F29"/>
    <w:pPr>
      <w:autoSpaceDE w:val="0"/>
      <w:autoSpaceDN w:val="0"/>
      <w:adjustRightInd w:val="0"/>
      <w:spacing w:after="0" w:line="240" w:lineRule="auto"/>
    </w:pPr>
    <w:rPr>
      <w:rFonts w:ascii="Code" w:hAnsi="Code" w:cs="Code"/>
      <w:color w:val="000000"/>
      <w:sz w:val="24"/>
      <w:szCs w:val="24"/>
      <w:lang w:val="es-AR"/>
    </w:rPr>
  </w:style>
  <w:style w:type="character" w:customStyle="1" w:styleId="Heading3Char">
    <w:name w:val="Heading 3 Char"/>
    <w:basedOn w:val="DefaultParagraphFont"/>
    <w:link w:val="Heading3"/>
    <w:uiPriority w:val="9"/>
    <w:rsid w:val="002E6D7F"/>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C96754"/>
    <w:rPr>
      <w:i/>
      <w:iCs/>
    </w:rPr>
  </w:style>
  <w:style w:type="character" w:customStyle="1" w:styleId="slug-pub-date">
    <w:name w:val="slug-pub-date"/>
    <w:basedOn w:val="DefaultParagraphFont"/>
    <w:rsid w:val="00C96754"/>
  </w:style>
  <w:style w:type="character" w:customStyle="1" w:styleId="slug-doi-wrapper">
    <w:name w:val="slug-doi-wrapper"/>
    <w:basedOn w:val="DefaultParagraphFont"/>
    <w:rsid w:val="00C96754"/>
  </w:style>
  <w:style w:type="character" w:customStyle="1" w:styleId="slug-doi">
    <w:name w:val="slug-doi"/>
    <w:basedOn w:val="DefaultParagraphFont"/>
    <w:rsid w:val="00C96754"/>
  </w:style>
  <w:style w:type="character" w:customStyle="1" w:styleId="slug-metadata-note">
    <w:name w:val="slug-metadata-note"/>
    <w:basedOn w:val="DefaultParagraphFont"/>
    <w:rsid w:val="00C96754"/>
  </w:style>
  <w:style w:type="character" w:customStyle="1" w:styleId="slug-ahead-of-print-date">
    <w:name w:val="slug-ahead-of-print-date"/>
    <w:basedOn w:val="DefaultParagraphFont"/>
    <w:rsid w:val="00C96754"/>
  </w:style>
  <w:style w:type="paragraph" w:styleId="Caption">
    <w:name w:val="caption"/>
    <w:basedOn w:val="Normal"/>
    <w:next w:val="Normal"/>
    <w:uiPriority w:val="35"/>
    <w:semiHidden/>
    <w:unhideWhenUsed/>
    <w:qFormat/>
    <w:rsid w:val="004E53DB"/>
    <w:pPr>
      <w:spacing w:line="240" w:lineRule="auto"/>
    </w:pPr>
    <w:rPr>
      <w:b/>
      <w:bCs/>
      <w:color w:val="4F81BD" w:themeColor="accent1"/>
      <w:sz w:val="18"/>
      <w:szCs w:val="18"/>
    </w:rPr>
  </w:style>
  <w:style w:type="table" w:customStyle="1" w:styleId="GridTable5Dark">
    <w:name w:val="Grid Table 5 Dark"/>
    <w:basedOn w:val="TableNormal"/>
    <w:uiPriority w:val="50"/>
    <w:rsid w:val="007E03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EndnoteText">
    <w:name w:val="endnote text"/>
    <w:basedOn w:val="Normal"/>
    <w:link w:val="EndnoteTextChar"/>
    <w:uiPriority w:val="99"/>
    <w:unhideWhenUsed/>
    <w:rsid w:val="00063ED2"/>
    <w:pPr>
      <w:spacing w:after="0" w:line="240" w:lineRule="auto"/>
    </w:pPr>
    <w:rPr>
      <w:sz w:val="20"/>
      <w:szCs w:val="20"/>
    </w:rPr>
  </w:style>
  <w:style w:type="character" w:customStyle="1" w:styleId="EndnoteTextChar">
    <w:name w:val="Endnote Text Char"/>
    <w:basedOn w:val="DefaultParagraphFont"/>
    <w:link w:val="EndnoteText"/>
    <w:uiPriority w:val="99"/>
    <w:rsid w:val="00063ED2"/>
    <w:rPr>
      <w:sz w:val="20"/>
      <w:szCs w:val="20"/>
    </w:rPr>
  </w:style>
  <w:style w:type="character" w:styleId="EndnoteReference">
    <w:name w:val="endnote reference"/>
    <w:basedOn w:val="DefaultParagraphFont"/>
    <w:uiPriority w:val="99"/>
    <w:semiHidden/>
    <w:unhideWhenUsed/>
    <w:rsid w:val="00063ED2"/>
    <w:rPr>
      <w:vertAlign w:val="superscript"/>
    </w:rPr>
  </w:style>
  <w:style w:type="paragraph" w:styleId="NormalWeb">
    <w:name w:val="Normal (Web)"/>
    <w:basedOn w:val="Normal"/>
    <w:uiPriority w:val="99"/>
    <w:unhideWhenUsed/>
    <w:rsid w:val="007040B0"/>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Emphasis">
    <w:name w:val="Emphasis"/>
    <w:basedOn w:val="DefaultParagraphFont"/>
    <w:uiPriority w:val="20"/>
    <w:qFormat/>
    <w:rsid w:val="00435C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AD"/>
  </w:style>
  <w:style w:type="paragraph" w:styleId="Heading1">
    <w:name w:val="heading 1"/>
    <w:basedOn w:val="Normal"/>
    <w:link w:val="Heading1Char"/>
    <w:uiPriority w:val="9"/>
    <w:qFormat/>
    <w:rsid w:val="00073E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s-AR" w:eastAsia="es-AR"/>
    </w:rPr>
  </w:style>
  <w:style w:type="paragraph" w:styleId="Heading3">
    <w:name w:val="heading 3"/>
    <w:basedOn w:val="Normal"/>
    <w:next w:val="Normal"/>
    <w:link w:val="Heading3Char"/>
    <w:uiPriority w:val="9"/>
    <w:unhideWhenUsed/>
    <w:qFormat/>
    <w:rsid w:val="002E6D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17AD"/>
    <w:pPr>
      <w:spacing w:after="0" w:line="240" w:lineRule="auto"/>
    </w:pPr>
    <w:rPr>
      <w:sz w:val="20"/>
      <w:szCs w:val="20"/>
    </w:rPr>
  </w:style>
  <w:style w:type="character" w:customStyle="1" w:styleId="FootnoteTextChar">
    <w:name w:val="Footnote Text Char"/>
    <w:basedOn w:val="DefaultParagraphFont"/>
    <w:link w:val="FootnoteText"/>
    <w:uiPriority w:val="99"/>
    <w:rsid w:val="00A217AD"/>
    <w:rPr>
      <w:sz w:val="20"/>
      <w:szCs w:val="20"/>
    </w:rPr>
  </w:style>
  <w:style w:type="character" w:styleId="FootnoteReference">
    <w:name w:val="footnote reference"/>
    <w:basedOn w:val="DefaultParagraphFont"/>
    <w:uiPriority w:val="99"/>
    <w:unhideWhenUsed/>
    <w:rsid w:val="00A217AD"/>
    <w:rPr>
      <w:vertAlign w:val="superscript"/>
    </w:rPr>
  </w:style>
  <w:style w:type="character" w:styleId="Hyperlink">
    <w:name w:val="Hyperlink"/>
    <w:basedOn w:val="DefaultParagraphFont"/>
    <w:uiPriority w:val="99"/>
    <w:unhideWhenUsed/>
    <w:rsid w:val="00A217AD"/>
    <w:rPr>
      <w:color w:val="0000FF" w:themeColor="hyperlink"/>
      <w:u w:val="single"/>
    </w:rPr>
  </w:style>
  <w:style w:type="character" w:styleId="CommentReference">
    <w:name w:val="annotation reference"/>
    <w:basedOn w:val="DefaultParagraphFont"/>
    <w:uiPriority w:val="99"/>
    <w:semiHidden/>
    <w:unhideWhenUsed/>
    <w:rsid w:val="00A217AD"/>
    <w:rPr>
      <w:sz w:val="16"/>
      <w:szCs w:val="16"/>
    </w:rPr>
  </w:style>
  <w:style w:type="paragraph" w:styleId="CommentText">
    <w:name w:val="annotation text"/>
    <w:basedOn w:val="Normal"/>
    <w:link w:val="CommentTextChar"/>
    <w:uiPriority w:val="99"/>
    <w:unhideWhenUsed/>
    <w:rsid w:val="00A217AD"/>
    <w:pPr>
      <w:spacing w:line="240" w:lineRule="auto"/>
    </w:pPr>
    <w:rPr>
      <w:sz w:val="20"/>
      <w:szCs w:val="20"/>
    </w:rPr>
  </w:style>
  <w:style w:type="character" w:customStyle="1" w:styleId="CommentTextChar">
    <w:name w:val="Comment Text Char"/>
    <w:basedOn w:val="DefaultParagraphFont"/>
    <w:link w:val="CommentText"/>
    <w:uiPriority w:val="99"/>
    <w:rsid w:val="00A217AD"/>
    <w:rPr>
      <w:sz w:val="20"/>
      <w:szCs w:val="20"/>
    </w:rPr>
  </w:style>
  <w:style w:type="paragraph" w:styleId="BalloonText">
    <w:name w:val="Balloon Text"/>
    <w:basedOn w:val="Normal"/>
    <w:link w:val="BalloonTextChar"/>
    <w:uiPriority w:val="99"/>
    <w:semiHidden/>
    <w:unhideWhenUsed/>
    <w:rsid w:val="00A21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7A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D21F6"/>
    <w:rPr>
      <w:b/>
      <w:bCs/>
    </w:rPr>
  </w:style>
  <w:style w:type="character" w:customStyle="1" w:styleId="CommentSubjectChar">
    <w:name w:val="Comment Subject Char"/>
    <w:basedOn w:val="CommentTextChar"/>
    <w:link w:val="CommentSubject"/>
    <w:uiPriority w:val="99"/>
    <w:semiHidden/>
    <w:rsid w:val="00DD21F6"/>
    <w:rPr>
      <w:b/>
      <w:bCs/>
      <w:sz w:val="20"/>
      <w:szCs w:val="20"/>
    </w:rPr>
  </w:style>
  <w:style w:type="table" w:styleId="TableGrid">
    <w:name w:val="Table Grid"/>
    <w:basedOn w:val="TableNormal"/>
    <w:uiPriority w:val="59"/>
    <w:rsid w:val="0059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5955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59550E"/>
    <w:pPr>
      <w:ind w:left="720"/>
      <w:contextualSpacing/>
    </w:pPr>
  </w:style>
  <w:style w:type="table" w:customStyle="1" w:styleId="ListTable1Light1">
    <w:name w:val="List Table 1 Light1"/>
    <w:basedOn w:val="TableNormal"/>
    <w:uiPriority w:val="46"/>
    <w:rsid w:val="005955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4B5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3C5"/>
  </w:style>
  <w:style w:type="paragraph" w:styleId="Footer">
    <w:name w:val="footer"/>
    <w:basedOn w:val="Normal"/>
    <w:link w:val="FooterChar"/>
    <w:uiPriority w:val="99"/>
    <w:unhideWhenUsed/>
    <w:rsid w:val="004B5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3C5"/>
  </w:style>
  <w:style w:type="character" w:customStyle="1" w:styleId="apple-converted-space">
    <w:name w:val="apple-converted-space"/>
    <w:basedOn w:val="DefaultParagraphFont"/>
    <w:rsid w:val="00073EC3"/>
  </w:style>
  <w:style w:type="character" w:customStyle="1" w:styleId="Heading1Char">
    <w:name w:val="Heading 1 Char"/>
    <w:basedOn w:val="DefaultParagraphFont"/>
    <w:link w:val="Heading1"/>
    <w:uiPriority w:val="9"/>
    <w:rsid w:val="00073EC3"/>
    <w:rPr>
      <w:rFonts w:ascii="Times New Roman" w:eastAsia="Times New Roman" w:hAnsi="Times New Roman" w:cs="Times New Roman"/>
      <w:b/>
      <w:bCs/>
      <w:kern w:val="36"/>
      <w:sz w:val="48"/>
      <w:szCs w:val="48"/>
      <w:lang w:val="es-AR" w:eastAsia="es-AR"/>
    </w:rPr>
  </w:style>
  <w:style w:type="paragraph" w:styleId="Revision">
    <w:name w:val="Revision"/>
    <w:hidden/>
    <w:uiPriority w:val="99"/>
    <w:semiHidden/>
    <w:rsid w:val="00CC0FBB"/>
    <w:pPr>
      <w:spacing w:after="0" w:line="240" w:lineRule="auto"/>
    </w:pPr>
  </w:style>
  <w:style w:type="paragraph" w:customStyle="1" w:styleId="Default">
    <w:name w:val="Default"/>
    <w:rsid w:val="00F12F29"/>
    <w:pPr>
      <w:autoSpaceDE w:val="0"/>
      <w:autoSpaceDN w:val="0"/>
      <w:adjustRightInd w:val="0"/>
      <w:spacing w:after="0" w:line="240" w:lineRule="auto"/>
    </w:pPr>
    <w:rPr>
      <w:rFonts w:ascii="Code" w:hAnsi="Code" w:cs="Code"/>
      <w:color w:val="000000"/>
      <w:sz w:val="24"/>
      <w:szCs w:val="24"/>
      <w:lang w:val="es-AR"/>
    </w:rPr>
  </w:style>
  <w:style w:type="character" w:customStyle="1" w:styleId="Heading3Char">
    <w:name w:val="Heading 3 Char"/>
    <w:basedOn w:val="DefaultParagraphFont"/>
    <w:link w:val="Heading3"/>
    <w:uiPriority w:val="9"/>
    <w:rsid w:val="002E6D7F"/>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C96754"/>
    <w:rPr>
      <w:i/>
      <w:iCs/>
    </w:rPr>
  </w:style>
  <w:style w:type="character" w:customStyle="1" w:styleId="slug-pub-date">
    <w:name w:val="slug-pub-date"/>
    <w:basedOn w:val="DefaultParagraphFont"/>
    <w:rsid w:val="00C96754"/>
  </w:style>
  <w:style w:type="character" w:customStyle="1" w:styleId="slug-doi-wrapper">
    <w:name w:val="slug-doi-wrapper"/>
    <w:basedOn w:val="DefaultParagraphFont"/>
    <w:rsid w:val="00C96754"/>
  </w:style>
  <w:style w:type="character" w:customStyle="1" w:styleId="slug-doi">
    <w:name w:val="slug-doi"/>
    <w:basedOn w:val="DefaultParagraphFont"/>
    <w:rsid w:val="00C96754"/>
  </w:style>
  <w:style w:type="character" w:customStyle="1" w:styleId="slug-metadata-note">
    <w:name w:val="slug-metadata-note"/>
    <w:basedOn w:val="DefaultParagraphFont"/>
    <w:rsid w:val="00C96754"/>
  </w:style>
  <w:style w:type="character" w:customStyle="1" w:styleId="slug-ahead-of-print-date">
    <w:name w:val="slug-ahead-of-print-date"/>
    <w:basedOn w:val="DefaultParagraphFont"/>
    <w:rsid w:val="00C96754"/>
  </w:style>
  <w:style w:type="paragraph" w:styleId="Caption">
    <w:name w:val="caption"/>
    <w:basedOn w:val="Normal"/>
    <w:next w:val="Normal"/>
    <w:uiPriority w:val="35"/>
    <w:semiHidden/>
    <w:unhideWhenUsed/>
    <w:qFormat/>
    <w:rsid w:val="004E53DB"/>
    <w:pPr>
      <w:spacing w:line="240" w:lineRule="auto"/>
    </w:pPr>
    <w:rPr>
      <w:b/>
      <w:bCs/>
      <w:color w:val="4F81BD" w:themeColor="accent1"/>
      <w:sz w:val="18"/>
      <w:szCs w:val="18"/>
    </w:rPr>
  </w:style>
  <w:style w:type="table" w:customStyle="1" w:styleId="GridTable5Dark">
    <w:name w:val="Grid Table 5 Dark"/>
    <w:basedOn w:val="TableNormal"/>
    <w:uiPriority w:val="50"/>
    <w:rsid w:val="007E03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EndnoteText">
    <w:name w:val="endnote text"/>
    <w:basedOn w:val="Normal"/>
    <w:link w:val="EndnoteTextChar"/>
    <w:uiPriority w:val="99"/>
    <w:unhideWhenUsed/>
    <w:rsid w:val="00063ED2"/>
    <w:pPr>
      <w:spacing w:after="0" w:line="240" w:lineRule="auto"/>
    </w:pPr>
    <w:rPr>
      <w:sz w:val="20"/>
      <w:szCs w:val="20"/>
    </w:rPr>
  </w:style>
  <w:style w:type="character" w:customStyle="1" w:styleId="EndnoteTextChar">
    <w:name w:val="Endnote Text Char"/>
    <w:basedOn w:val="DefaultParagraphFont"/>
    <w:link w:val="EndnoteText"/>
    <w:uiPriority w:val="99"/>
    <w:rsid w:val="00063ED2"/>
    <w:rPr>
      <w:sz w:val="20"/>
      <w:szCs w:val="20"/>
    </w:rPr>
  </w:style>
  <w:style w:type="character" w:styleId="EndnoteReference">
    <w:name w:val="endnote reference"/>
    <w:basedOn w:val="DefaultParagraphFont"/>
    <w:uiPriority w:val="99"/>
    <w:semiHidden/>
    <w:unhideWhenUsed/>
    <w:rsid w:val="00063ED2"/>
    <w:rPr>
      <w:vertAlign w:val="superscript"/>
    </w:rPr>
  </w:style>
  <w:style w:type="paragraph" w:styleId="NormalWeb">
    <w:name w:val="Normal (Web)"/>
    <w:basedOn w:val="Normal"/>
    <w:uiPriority w:val="99"/>
    <w:unhideWhenUsed/>
    <w:rsid w:val="007040B0"/>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Emphasis">
    <w:name w:val="Emphasis"/>
    <w:basedOn w:val="DefaultParagraphFont"/>
    <w:uiPriority w:val="20"/>
    <w:qFormat/>
    <w:rsid w:val="00435C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8315">
      <w:bodyDiv w:val="1"/>
      <w:marLeft w:val="0"/>
      <w:marRight w:val="0"/>
      <w:marTop w:val="0"/>
      <w:marBottom w:val="0"/>
      <w:divBdr>
        <w:top w:val="none" w:sz="0" w:space="0" w:color="auto"/>
        <w:left w:val="none" w:sz="0" w:space="0" w:color="auto"/>
        <w:bottom w:val="none" w:sz="0" w:space="0" w:color="auto"/>
        <w:right w:val="none" w:sz="0" w:space="0" w:color="auto"/>
      </w:divBdr>
    </w:div>
    <w:div w:id="753672527">
      <w:bodyDiv w:val="1"/>
      <w:marLeft w:val="0"/>
      <w:marRight w:val="0"/>
      <w:marTop w:val="0"/>
      <w:marBottom w:val="0"/>
      <w:divBdr>
        <w:top w:val="none" w:sz="0" w:space="0" w:color="auto"/>
        <w:left w:val="none" w:sz="0" w:space="0" w:color="auto"/>
        <w:bottom w:val="none" w:sz="0" w:space="0" w:color="auto"/>
        <w:right w:val="none" w:sz="0" w:space="0" w:color="auto"/>
      </w:divBdr>
    </w:div>
    <w:div w:id="1013724910">
      <w:bodyDiv w:val="1"/>
      <w:marLeft w:val="0"/>
      <w:marRight w:val="0"/>
      <w:marTop w:val="0"/>
      <w:marBottom w:val="0"/>
      <w:divBdr>
        <w:top w:val="none" w:sz="0" w:space="0" w:color="auto"/>
        <w:left w:val="none" w:sz="0" w:space="0" w:color="auto"/>
        <w:bottom w:val="none" w:sz="0" w:space="0" w:color="auto"/>
        <w:right w:val="none" w:sz="0" w:space="0" w:color="auto"/>
      </w:divBdr>
    </w:div>
    <w:div w:id="1113982313">
      <w:bodyDiv w:val="1"/>
      <w:marLeft w:val="0"/>
      <w:marRight w:val="0"/>
      <w:marTop w:val="0"/>
      <w:marBottom w:val="0"/>
      <w:divBdr>
        <w:top w:val="none" w:sz="0" w:space="0" w:color="auto"/>
        <w:left w:val="none" w:sz="0" w:space="0" w:color="auto"/>
        <w:bottom w:val="none" w:sz="0" w:space="0" w:color="auto"/>
        <w:right w:val="none" w:sz="0" w:space="0" w:color="auto"/>
      </w:divBdr>
      <w:divsChild>
        <w:div w:id="650644235">
          <w:marLeft w:val="0"/>
          <w:marRight w:val="0"/>
          <w:marTop w:val="0"/>
          <w:marBottom w:val="0"/>
          <w:divBdr>
            <w:top w:val="none" w:sz="0" w:space="0" w:color="auto"/>
            <w:left w:val="none" w:sz="0" w:space="0" w:color="auto"/>
            <w:bottom w:val="none" w:sz="0" w:space="0" w:color="auto"/>
            <w:right w:val="none" w:sz="0" w:space="0" w:color="auto"/>
          </w:divBdr>
          <w:divsChild>
            <w:div w:id="546532831">
              <w:marLeft w:val="0"/>
              <w:marRight w:val="0"/>
              <w:marTop w:val="0"/>
              <w:marBottom w:val="0"/>
              <w:divBdr>
                <w:top w:val="none" w:sz="0" w:space="0" w:color="auto"/>
                <w:left w:val="none" w:sz="0" w:space="0" w:color="auto"/>
                <w:bottom w:val="none" w:sz="0" w:space="0" w:color="auto"/>
                <w:right w:val="none" w:sz="0" w:space="0" w:color="auto"/>
              </w:divBdr>
            </w:div>
            <w:div w:id="16712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29631">
      <w:bodyDiv w:val="1"/>
      <w:marLeft w:val="0"/>
      <w:marRight w:val="0"/>
      <w:marTop w:val="0"/>
      <w:marBottom w:val="0"/>
      <w:divBdr>
        <w:top w:val="none" w:sz="0" w:space="0" w:color="auto"/>
        <w:left w:val="none" w:sz="0" w:space="0" w:color="auto"/>
        <w:bottom w:val="none" w:sz="0" w:space="0" w:color="auto"/>
        <w:right w:val="none" w:sz="0" w:space="0" w:color="auto"/>
      </w:divBdr>
    </w:div>
    <w:div w:id="1232887697">
      <w:bodyDiv w:val="1"/>
      <w:marLeft w:val="0"/>
      <w:marRight w:val="0"/>
      <w:marTop w:val="0"/>
      <w:marBottom w:val="0"/>
      <w:divBdr>
        <w:top w:val="none" w:sz="0" w:space="0" w:color="auto"/>
        <w:left w:val="none" w:sz="0" w:space="0" w:color="auto"/>
        <w:bottom w:val="none" w:sz="0" w:space="0" w:color="auto"/>
        <w:right w:val="none" w:sz="0" w:space="0" w:color="auto"/>
      </w:divBdr>
    </w:div>
    <w:div w:id="1251043832">
      <w:bodyDiv w:val="1"/>
      <w:marLeft w:val="0"/>
      <w:marRight w:val="0"/>
      <w:marTop w:val="0"/>
      <w:marBottom w:val="0"/>
      <w:divBdr>
        <w:top w:val="none" w:sz="0" w:space="0" w:color="auto"/>
        <w:left w:val="none" w:sz="0" w:space="0" w:color="auto"/>
        <w:bottom w:val="none" w:sz="0" w:space="0" w:color="auto"/>
        <w:right w:val="none" w:sz="0" w:space="0" w:color="auto"/>
      </w:divBdr>
    </w:div>
    <w:div w:id="1252154417">
      <w:bodyDiv w:val="1"/>
      <w:marLeft w:val="0"/>
      <w:marRight w:val="0"/>
      <w:marTop w:val="0"/>
      <w:marBottom w:val="0"/>
      <w:divBdr>
        <w:top w:val="none" w:sz="0" w:space="0" w:color="auto"/>
        <w:left w:val="none" w:sz="0" w:space="0" w:color="auto"/>
        <w:bottom w:val="none" w:sz="0" w:space="0" w:color="auto"/>
        <w:right w:val="none" w:sz="0" w:space="0" w:color="auto"/>
      </w:divBdr>
    </w:div>
    <w:div w:id="1605574358">
      <w:bodyDiv w:val="1"/>
      <w:marLeft w:val="0"/>
      <w:marRight w:val="0"/>
      <w:marTop w:val="0"/>
      <w:marBottom w:val="0"/>
      <w:divBdr>
        <w:top w:val="none" w:sz="0" w:space="0" w:color="auto"/>
        <w:left w:val="none" w:sz="0" w:space="0" w:color="auto"/>
        <w:bottom w:val="none" w:sz="0" w:space="0" w:color="auto"/>
        <w:right w:val="none" w:sz="0" w:space="0" w:color="auto"/>
      </w:divBdr>
    </w:div>
    <w:div w:id="1813787079">
      <w:bodyDiv w:val="1"/>
      <w:marLeft w:val="0"/>
      <w:marRight w:val="0"/>
      <w:marTop w:val="0"/>
      <w:marBottom w:val="0"/>
      <w:divBdr>
        <w:top w:val="none" w:sz="0" w:space="0" w:color="auto"/>
        <w:left w:val="none" w:sz="0" w:space="0" w:color="auto"/>
        <w:bottom w:val="none" w:sz="0" w:space="0" w:color="auto"/>
        <w:right w:val="none" w:sz="0" w:space="0" w:color="auto"/>
      </w:divBdr>
    </w:div>
    <w:div w:id="1819228212">
      <w:bodyDiv w:val="1"/>
      <w:marLeft w:val="0"/>
      <w:marRight w:val="0"/>
      <w:marTop w:val="0"/>
      <w:marBottom w:val="0"/>
      <w:divBdr>
        <w:top w:val="none" w:sz="0" w:space="0" w:color="auto"/>
        <w:left w:val="none" w:sz="0" w:space="0" w:color="auto"/>
        <w:bottom w:val="none" w:sz="0" w:space="0" w:color="auto"/>
        <w:right w:val="none" w:sz="0" w:space="0" w:color="auto"/>
      </w:divBdr>
    </w:div>
    <w:div w:id="1820614068">
      <w:bodyDiv w:val="1"/>
      <w:marLeft w:val="0"/>
      <w:marRight w:val="0"/>
      <w:marTop w:val="0"/>
      <w:marBottom w:val="0"/>
      <w:divBdr>
        <w:top w:val="none" w:sz="0" w:space="0" w:color="auto"/>
        <w:left w:val="none" w:sz="0" w:space="0" w:color="auto"/>
        <w:bottom w:val="none" w:sz="0" w:space="0" w:color="auto"/>
        <w:right w:val="none" w:sz="0" w:space="0" w:color="auto"/>
      </w:divBdr>
    </w:div>
    <w:div w:id="1922835220">
      <w:bodyDiv w:val="1"/>
      <w:marLeft w:val="0"/>
      <w:marRight w:val="0"/>
      <w:marTop w:val="0"/>
      <w:marBottom w:val="0"/>
      <w:divBdr>
        <w:top w:val="none" w:sz="0" w:space="0" w:color="auto"/>
        <w:left w:val="none" w:sz="0" w:space="0" w:color="auto"/>
        <w:bottom w:val="none" w:sz="0" w:space="0" w:color="auto"/>
        <w:right w:val="none" w:sz="0" w:space="0" w:color="auto"/>
      </w:divBdr>
    </w:div>
    <w:div w:id="2010323424">
      <w:bodyDiv w:val="1"/>
      <w:marLeft w:val="0"/>
      <w:marRight w:val="0"/>
      <w:marTop w:val="0"/>
      <w:marBottom w:val="0"/>
      <w:divBdr>
        <w:top w:val="none" w:sz="0" w:space="0" w:color="auto"/>
        <w:left w:val="none" w:sz="0" w:space="0" w:color="auto"/>
        <w:bottom w:val="none" w:sz="0" w:space="0" w:color="auto"/>
        <w:right w:val="none" w:sz="0" w:space="0" w:color="auto"/>
      </w:divBdr>
    </w:div>
    <w:div w:id="20834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1.xml"/><Relationship Id="rId22" Type="http://schemas.openxmlformats.org/officeDocument/2006/relationships/image" Target="media/image13.emf"/><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infoleg.gov.ar/infolegInternet/anexos/115000-119999/116296/texact.htm" TargetMode="External"/><Relationship Id="rId2" Type="http://schemas.openxmlformats.org/officeDocument/2006/relationships/hyperlink" Target="http://www.infoleg.gov.ar/infolegInternet/anexos/115000-119999/116296/texact.htm" TargetMode="External"/><Relationship Id="rId1" Type="http://schemas.openxmlformats.org/officeDocument/2006/relationships/hyperlink" Target="http://www.senado.gov.ar/web/interes/constitucion/english.php" TargetMode="External"/><Relationship Id="rId5" Type="http://schemas.openxmlformats.org/officeDocument/2006/relationships/hyperlink" Target="http://www.infoleg.gov.ar/infolegInternet/anexos/15000-19999/16547/texact.htm" TargetMode="External"/><Relationship Id="rId4" Type="http://schemas.openxmlformats.org/officeDocument/2006/relationships/hyperlink" Target="http://www.infoleg.gov.ar/infolegInternet/anexos/115000-119999/116296/texact.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stacked"/>
        <c:varyColors val="0"/>
        <c:ser>
          <c:idx val="0"/>
          <c:order val="0"/>
          <c:tx>
            <c:strRef>
              <c:f>Sheet1!$B$1</c:f>
              <c:strCache>
                <c:ptCount val="1"/>
                <c:pt idx="0">
                  <c:v>Not Classified</c:v>
                </c:pt>
              </c:strCache>
            </c:strRef>
          </c:tx>
          <c:spPr>
            <a:solidFill>
              <a:schemeClr val="dk1">
                <a:tint val="88500"/>
              </a:schemeClr>
            </a:solidFill>
            <a:ln>
              <a:noFill/>
            </a:ln>
            <a:effectLst/>
          </c:spPr>
          <c:invertIfNegative val="0"/>
          <c:cat>
            <c:strRef>
              <c:f>Sheet1!$A$2:$A$15</c:f>
              <c:strCache>
                <c:ptCount val="14"/>
                <c:pt idx="0">
                  <c:v>Insurance Law</c:v>
                </c:pt>
                <c:pt idx="1">
                  <c:v>Human rights law</c:v>
                </c:pt>
                <c:pt idx="2">
                  <c:v>Constitutional Law</c:v>
                </c:pt>
                <c:pt idx="3">
                  <c:v>Not Classified</c:v>
                </c:pt>
                <c:pt idx="4">
                  <c:v>Family Law</c:v>
                </c:pt>
                <c:pt idx="5">
                  <c:v>Bankruptcy Law</c:v>
                </c:pt>
                <c:pt idx="6">
                  <c:v>Contract Law</c:v>
                </c:pt>
                <c:pt idx="7">
                  <c:v>Tax Law</c:v>
                </c:pt>
                <c:pt idx="8">
                  <c:v>Criminal Procedure</c:v>
                </c:pt>
                <c:pt idx="9">
                  <c:v>Property Law</c:v>
                </c:pt>
                <c:pt idx="10">
                  <c:v>Tort Law</c:v>
                </c:pt>
                <c:pt idx="11">
                  <c:v>Criminal law</c:v>
                </c:pt>
                <c:pt idx="12">
                  <c:v>Public law</c:v>
                </c:pt>
                <c:pt idx="13">
                  <c:v>Labor Law</c:v>
                </c:pt>
              </c:strCache>
            </c:strRef>
          </c:cat>
          <c:val>
            <c:numRef>
              <c:f>Sheet1!$B$2:$B$15</c:f>
            </c:numRef>
          </c:val>
        </c:ser>
        <c:ser>
          <c:idx val="1"/>
          <c:order val="1"/>
          <c:tx>
            <c:strRef>
              <c:f>Sheet1!$C$1</c:f>
              <c:strCache>
                <c:ptCount val="1"/>
                <c:pt idx="0">
                  <c:v>Federal</c:v>
                </c:pt>
              </c:strCache>
            </c:strRef>
          </c:tx>
          <c:spPr>
            <a:pattFill prst="dkDnDiag">
              <a:fgClr>
                <a:schemeClr val="dk1">
                  <a:tint val="55000"/>
                </a:schemeClr>
              </a:fgClr>
              <a:bgClr>
                <a:schemeClr val="bg1"/>
              </a:bgClr>
            </a:pattFill>
            <a:ln>
              <a:noFill/>
            </a:ln>
            <a:effectLst/>
          </c:spPr>
          <c:invertIfNegative val="0"/>
          <c:cat>
            <c:strRef>
              <c:f>Sheet1!$A$2:$A$15</c:f>
              <c:strCache>
                <c:ptCount val="14"/>
                <c:pt idx="0">
                  <c:v>Insurance Law</c:v>
                </c:pt>
                <c:pt idx="1">
                  <c:v>Human rights law</c:v>
                </c:pt>
                <c:pt idx="2">
                  <c:v>Constitutional Law</c:v>
                </c:pt>
                <c:pt idx="3">
                  <c:v>Not Classified</c:v>
                </c:pt>
                <c:pt idx="4">
                  <c:v>Family Law</c:v>
                </c:pt>
                <c:pt idx="5">
                  <c:v>Bankruptcy Law</c:v>
                </c:pt>
                <c:pt idx="6">
                  <c:v>Contract Law</c:v>
                </c:pt>
                <c:pt idx="7">
                  <c:v>Tax Law</c:v>
                </c:pt>
                <c:pt idx="8">
                  <c:v>Criminal Procedure</c:v>
                </c:pt>
                <c:pt idx="9">
                  <c:v>Property Law</c:v>
                </c:pt>
                <c:pt idx="10">
                  <c:v>Tort Law</c:v>
                </c:pt>
                <c:pt idx="11">
                  <c:v>Criminal law</c:v>
                </c:pt>
                <c:pt idx="12">
                  <c:v>Public law</c:v>
                </c:pt>
                <c:pt idx="13">
                  <c:v>Labor Law</c:v>
                </c:pt>
              </c:strCache>
            </c:strRef>
          </c:cat>
          <c:val>
            <c:numRef>
              <c:f>Sheet1!$C$2:$C$15</c:f>
              <c:numCache>
                <c:formatCode>General</c:formatCode>
                <c:ptCount val="14"/>
                <c:pt idx="0">
                  <c:v>3</c:v>
                </c:pt>
                <c:pt idx="1">
                  <c:v>3</c:v>
                </c:pt>
                <c:pt idx="2">
                  <c:v>0</c:v>
                </c:pt>
                <c:pt idx="3">
                  <c:v>1</c:v>
                </c:pt>
                <c:pt idx="4">
                  <c:v>0</c:v>
                </c:pt>
                <c:pt idx="5">
                  <c:v>1</c:v>
                </c:pt>
                <c:pt idx="6">
                  <c:v>13</c:v>
                </c:pt>
                <c:pt idx="7">
                  <c:v>37</c:v>
                </c:pt>
                <c:pt idx="8">
                  <c:v>0</c:v>
                </c:pt>
                <c:pt idx="9">
                  <c:v>17</c:v>
                </c:pt>
                <c:pt idx="10">
                  <c:v>16</c:v>
                </c:pt>
                <c:pt idx="11">
                  <c:v>2</c:v>
                </c:pt>
                <c:pt idx="12">
                  <c:v>115</c:v>
                </c:pt>
                <c:pt idx="13">
                  <c:v>36</c:v>
                </c:pt>
              </c:numCache>
            </c:numRef>
          </c:val>
        </c:ser>
        <c:ser>
          <c:idx val="2"/>
          <c:order val="2"/>
          <c:tx>
            <c:strRef>
              <c:f>Sheet1!$D$1</c:f>
              <c:strCache>
                <c:ptCount val="1"/>
                <c:pt idx="0">
                  <c:v>Federal/National</c:v>
                </c:pt>
              </c:strCache>
            </c:strRef>
          </c:tx>
          <c:spPr>
            <a:solidFill>
              <a:schemeClr val="dk1">
                <a:tint val="75000"/>
              </a:schemeClr>
            </a:solidFill>
            <a:ln>
              <a:noFill/>
            </a:ln>
            <a:effectLst/>
          </c:spPr>
          <c:invertIfNegative val="0"/>
          <c:cat>
            <c:strRef>
              <c:f>Sheet1!$A$2:$A$15</c:f>
              <c:strCache>
                <c:ptCount val="14"/>
                <c:pt idx="0">
                  <c:v>Insurance Law</c:v>
                </c:pt>
                <c:pt idx="1">
                  <c:v>Human rights law</c:v>
                </c:pt>
                <c:pt idx="2">
                  <c:v>Constitutional Law</c:v>
                </c:pt>
                <c:pt idx="3">
                  <c:v>Not Classified</c:v>
                </c:pt>
                <c:pt idx="4">
                  <c:v>Family Law</c:v>
                </c:pt>
                <c:pt idx="5">
                  <c:v>Bankruptcy Law</c:v>
                </c:pt>
                <c:pt idx="6">
                  <c:v>Contract Law</c:v>
                </c:pt>
                <c:pt idx="7">
                  <c:v>Tax Law</c:v>
                </c:pt>
                <c:pt idx="8">
                  <c:v>Criminal Procedure</c:v>
                </c:pt>
                <c:pt idx="9">
                  <c:v>Property Law</c:v>
                </c:pt>
                <c:pt idx="10">
                  <c:v>Tort Law</c:v>
                </c:pt>
                <c:pt idx="11">
                  <c:v>Criminal law</c:v>
                </c:pt>
                <c:pt idx="12">
                  <c:v>Public law</c:v>
                </c:pt>
                <c:pt idx="13">
                  <c:v>Labor Law</c:v>
                </c:pt>
              </c:strCache>
            </c:strRef>
          </c:cat>
          <c:val>
            <c:numRef>
              <c:f>Sheet1!$D$2:$D$15</c:f>
              <c:numCache>
                <c:formatCode>General</c:formatCode>
                <c:ptCount val="14"/>
                <c:pt idx="0">
                  <c:v>0</c:v>
                </c:pt>
                <c:pt idx="1">
                  <c:v>0</c:v>
                </c:pt>
                <c:pt idx="2">
                  <c:v>0</c:v>
                </c:pt>
                <c:pt idx="3">
                  <c:v>0</c:v>
                </c:pt>
                <c:pt idx="4">
                  <c:v>1</c:v>
                </c:pt>
                <c:pt idx="5">
                  <c:v>1</c:v>
                </c:pt>
                <c:pt idx="6">
                  <c:v>0</c:v>
                </c:pt>
                <c:pt idx="7">
                  <c:v>0</c:v>
                </c:pt>
                <c:pt idx="8">
                  <c:v>35</c:v>
                </c:pt>
                <c:pt idx="9">
                  <c:v>0</c:v>
                </c:pt>
                <c:pt idx="10">
                  <c:v>0</c:v>
                </c:pt>
                <c:pt idx="11">
                  <c:v>46</c:v>
                </c:pt>
                <c:pt idx="12">
                  <c:v>0</c:v>
                </c:pt>
                <c:pt idx="13">
                  <c:v>0</c:v>
                </c:pt>
              </c:numCache>
            </c:numRef>
          </c:val>
        </c:ser>
        <c:ser>
          <c:idx val="3"/>
          <c:order val="3"/>
          <c:tx>
            <c:strRef>
              <c:f>Sheet1!$E$1</c:f>
              <c:strCache>
                <c:ptCount val="1"/>
                <c:pt idx="0">
                  <c:v>National</c:v>
                </c:pt>
              </c:strCache>
            </c:strRef>
          </c:tx>
          <c:spPr>
            <a:solidFill>
              <a:schemeClr val="dk1">
                <a:tint val="98500"/>
              </a:schemeClr>
            </a:solidFill>
            <a:ln>
              <a:noFill/>
            </a:ln>
            <a:effectLst/>
          </c:spPr>
          <c:invertIfNegative val="0"/>
          <c:cat>
            <c:strRef>
              <c:f>Sheet1!$A$2:$A$15</c:f>
              <c:strCache>
                <c:ptCount val="14"/>
                <c:pt idx="0">
                  <c:v>Insurance Law</c:v>
                </c:pt>
                <c:pt idx="1">
                  <c:v>Human rights law</c:v>
                </c:pt>
                <c:pt idx="2">
                  <c:v>Constitutional Law</c:v>
                </c:pt>
                <c:pt idx="3">
                  <c:v>Not Classified</c:v>
                </c:pt>
                <c:pt idx="4">
                  <c:v>Family Law</c:v>
                </c:pt>
                <c:pt idx="5">
                  <c:v>Bankruptcy Law</c:v>
                </c:pt>
                <c:pt idx="6">
                  <c:v>Contract Law</c:v>
                </c:pt>
                <c:pt idx="7">
                  <c:v>Tax Law</c:v>
                </c:pt>
                <c:pt idx="8">
                  <c:v>Criminal Procedure</c:v>
                </c:pt>
                <c:pt idx="9">
                  <c:v>Property Law</c:v>
                </c:pt>
                <c:pt idx="10">
                  <c:v>Tort Law</c:v>
                </c:pt>
                <c:pt idx="11">
                  <c:v>Criminal law</c:v>
                </c:pt>
                <c:pt idx="12">
                  <c:v>Public law</c:v>
                </c:pt>
                <c:pt idx="13">
                  <c:v>Labor Law</c:v>
                </c:pt>
              </c:strCache>
            </c:strRef>
          </c:cat>
          <c:val>
            <c:numRef>
              <c:f>Sheet1!$E$2:$E$15</c:f>
              <c:numCache>
                <c:formatCode>General</c:formatCode>
                <c:ptCount val="14"/>
                <c:pt idx="0">
                  <c:v>0</c:v>
                </c:pt>
                <c:pt idx="1">
                  <c:v>1</c:v>
                </c:pt>
                <c:pt idx="2">
                  <c:v>0</c:v>
                </c:pt>
                <c:pt idx="3">
                  <c:v>2</c:v>
                </c:pt>
                <c:pt idx="4">
                  <c:v>7</c:v>
                </c:pt>
                <c:pt idx="5">
                  <c:v>25</c:v>
                </c:pt>
                <c:pt idx="6">
                  <c:v>19</c:v>
                </c:pt>
                <c:pt idx="7">
                  <c:v>2</c:v>
                </c:pt>
                <c:pt idx="8">
                  <c:v>0</c:v>
                </c:pt>
                <c:pt idx="9">
                  <c:v>22</c:v>
                </c:pt>
                <c:pt idx="10">
                  <c:v>64</c:v>
                </c:pt>
                <c:pt idx="11">
                  <c:v>0</c:v>
                </c:pt>
                <c:pt idx="12">
                  <c:v>19</c:v>
                </c:pt>
                <c:pt idx="13">
                  <c:v>291</c:v>
                </c:pt>
              </c:numCache>
            </c:numRef>
          </c:val>
        </c:ser>
        <c:ser>
          <c:idx val="4"/>
          <c:order val="4"/>
          <c:tx>
            <c:strRef>
              <c:f>Sheet1!$F$1</c:f>
              <c:strCache>
                <c:ptCount val="1"/>
                <c:pt idx="0">
                  <c:v>Provincial</c:v>
                </c:pt>
              </c:strCache>
            </c:strRef>
          </c:tx>
          <c:spPr>
            <a:solidFill>
              <a:schemeClr val="dk1">
                <a:tint val="30000"/>
              </a:schemeClr>
            </a:solidFill>
            <a:ln>
              <a:noFill/>
            </a:ln>
            <a:effectLst/>
          </c:spPr>
          <c:invertIfNegative val="0"/>
          <c:cat>
            <c:strRef>
              <c:f>Sheet1!$A$2:$A$15</c:f>
              <c:strCache>
                <c:ptCount val="14"/>
                <c:pt idx="0">
                  <c:v>Insurance Law</c:v>
                </c:pt>
                <c:pt idx="1">
                  <c:v>Human rights law</c:v>
                </c:pt>
                <c:pt idx="2">
                  <c:v>Constitutional Law</c:v>
                </c:pt>
                <c:pt idx="3">
                  <c:v>Not Classified</c:v>
                </c:pt>
                <c:pt idx="4">
                  <c:v>Family Law</c:v>
                </c:pt>
                <c:pt idx="5">
                  <c:v>Bankruptcy Law</c:v>
                </c:pt>
                <c:pt idx="6">
                  <c:v>Contract Law</c:v>
                </c:pt>
                <c:pt idx="7">
                  <c:v>Tax Law</c:v>
                </c:pt>
                <c:pt idx="8">
                  <c:v>Criminal Procedure</c:v>
                </c:pt>
                <c:pt idx="9">
                  <c:v>Property Law</c:v>
                </c:pt>
                <c:pt idx="10">
                  <c:v>Tort Law</c:v>
                </c:pt>
                <c:pt idx="11">
                  <c:v>Criminal law</c:v>
                </c:pt>
                <c:pt idx="12">
                  <c:v>Public law</c:v>
                </c:pt>
                <c:pt idx="13">
                  <c:v>Labor Law</c:v>
                </c:pt>
              </c:strCache>
            </c:strRef>
          </c:cat>
          <c:val>
            <c:numRef>
              <c:f>Sheet1!$F$2:$F$15</c:f>
              <c:numCache>
                <c:formatCode>General</c:formatCode>
                <c:ptCount val="14"/>
                <c:pt idx="0">
                  <c:v>1</c:v>
                </c:pt>
                <c:pt idx="1">
                  <c:v>0</c:v>
                </c:pt>
                <c:pt idx="2">
                  <c:v>5</c:v>
                </c:pt>
                <c:pt idx="3">
                  <c:v>5</c:v>
                </c:pt>
                <c:pt idx="4">
                  <c:v>6</c:v>
                </c:pt>
                <c:pt idx="5">
                  <c:v>10</c:v>
                </c:pt>
                <c:pt idx="6">
                  <c:v>8</c:v>
                </c:pt>
                <c:pt idx="7">
                  <c:v>5</c:v>
                </c:pt>
                <c:pt idx="8">
                  <c:v>14</c:v>
                </c:pt>
                <c:pt idx="9">
                  <c:v>20</c:v>
                </c:pt>
                <c:pt idx="10">
                  <c:v>31</c:v>
                </c:pt>
                <c:pt idx="11">
                  <c:v>64</c:v>
                </c:pt>
                <c:pt idx="12">
                  <c:v>47</c:v>
                </c:pt>
                <c:pt idx="13">
                  <c:v>108</c:v>
                </c:pt>
              </c:numCache>
            </c:numRef>
          </c:val>
        </c:ser>
        <c:dLbls>
          <c:showLegendKey val="0"/>
          <c:showVal val="0"/>
          <c:showCatName val="0"/>
          <c:showSerName val="0"/>
          <c:showPercent val="0"/>
          <c:showBubbleSize val="0"/>
        </c:dLbls>
        <c:gapWidth val="46"/>
        <c:overlap val="100"/>
        <c:axId val="347248512"/>
        <c:axId val="347250048"/>
      </c:barChart>
      <c:catAx>
        <c:axId val="347248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crossAx val="347250048"/>
        <c:crosses val="autoZero"/>
        <c:auto val="1"/>
        <c:lblAlgn val="ctr"/>
        <c:lblOffset val="100"/>
        <c:noMultiLvlLbl val="0"/>
      </c:catAx>
      <c:valAx>
        <c:axId val="3472500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Cases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crossAx val="347248512"/>
        <c:crosses val="autoZero"/>
        <c:crossBetween val="between"/>
      </c:valAx>
      <c:spPr>
        <a:noFill/>
        <a:ln>
          <a:noFill/>
        </a:ln>
        <a:effectLst/>
      </c:spPr>
    </c:plotArea>
    <c:legend>
      <c:legendPos val="b"/>
      <c:layout>
        <c:manualLayout>
          <c:xMode val="edge"/>
          <c:yMode val="edge"/>
          <c:x val="0.124928263500741"/>
          <c:y val="0.89339145106861695"/>
          <c:w val="0.83568363863843498"/>
          <c:h val="6.295775528058990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A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Kle05</b:Tag>
    <b:SourceType>Book</b:SourceType>
    <b:Guid>{42EEBCD6-401F-40FF-A410-991178F36880}</b:Guid>
    <b:Title>Survival analysis: a self-learning text</b:Title>
    <b:Year>2005</b:Year>
    <b:Publisher>Springer</b:Publisher>
    <b:Author>
      <b:Author>
        <b:NameList>
          <b:Person>
            <b:Last>Kleinbaum</b:Last>
            <b:Middle>G.</b:Middle>
            <b:First>David</b:First>
          </b:Person>
          <b:Person>
            <b:Last>Klein</b:Last>
            <b:First>Mitchel</b:First>
          </b:Person>
        </b:NameList>
      </b:Author>
    </b:Author>
    <b:RefOrder>1</b:RefOrder>
  </b:Source>
  <b:Source>
    <b:Tag>Mar10</b:Tag>
    <b:SourceType>Book</b:SourceType>
    <b:Guid>{9B65E260-EEAB-4EEF-B552-8F8738EB0E9C}</b:Guid>
    <b:Author>
      <b:Author>
        <b:NameList>
          <b:Person>
            <b:Last>Cleves</b:Last>
            <b:First>Mario</b:First>
          </b:Person>
        </b:NameList>
      </b:Author>
    </b:Author>
    <b:Title>An introduction to survival analysis using Stata</b:Title>
    <b:Year>2010</b:Year>
    <b:Publisher>Stata Pres</b:Publisher>
    <b:RefOrder>1</b:RefOrder>
  </b:Source>
</b:Sources>
</file>

<file path=customXml/itemProps1.xml><?xml version="1.0" encoding="utf-8"?>
<ds:datastoreItem xmlns:ds="http://schemas.openxmlformats.org/officeDocument/2006/customXml" ds:itemID="{23FB32B2-D3A7-4591-B096-771B571A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8790</Words>
  <Characters>48345</Characters>
  <Application>Microsoft Office Word</Application>
  <DocSecurity>0</DocSecurity>
  <Lines>402</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muro</dc:creator>
  <cp:lastModifiedBy>sergio muro</cp:lastModifiedBy>
  <cp:revision>3</cp:revision>
  <cp:lastPrinted>2015-01-12T09:18:00Z</cp:lastPrinted>
  <dcterms:created xsi:type="dcterms:W3CDTF">2016-08-05T03:17:00Z</dcterms:created>
  <dcterms:modified xsi:type="dcterms:W3CDTF">2016-08-05T03:18:00Z</dcterms:modified>
</cp:coreProperties>
</file>